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default" w:ascii="黑体" w:hAnsi="黑体" w:eastAsia="黑体"/>
                <w:sz w:val="21"/>
                <w:szCs w:val="21"/>
                <w:lang w:val="en-US"/>
              </w:rPr>
            </w:pPr>
            <w:r>
              <w:rPr>
                <w:rFonts w:hint="default" w:ascii="黑体" w:hAnsi="黑体" w:eastAsia="黑体" w:cs="Times New Roman"/>
                <w:kern w:val="2"/>
                <w:sz w:val="21"/>
                <w:szCs w:val="21"/>
                <w:lang w:val="en-US" w:eastAsia="zh-CN" w:bidi="ar-SA"/>
              </w:rPr>
              <w:t>03.220.20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rPr>
            </w:pPr>
            <w:r>
              <w:rPr>
                <w:rFonts w:hint="default" w:ascii="黑体" w:hAnsi="黑体" w:eastAsia="黑体" w:cs="Times New Roman"/>
                <w:kern w:val="2"/>
                <w:sz w:val="21"/>
                <w:szCs w:val="21"/>
                <w:lang w:val="en-US" w:eastAsia="zh-CN" w:bidi="ar-SA"/>
              </w:rPr>
              <w:t>R 11</w:t>
            </w:r>
          </w:p>
        </w:tc>
      </w:tr>
    </w:tbl>
    <w:p>
      <w:pPr>
        <w:pStyle w:val="197"/>
      </w:pPr>
      <w:r>
        <w:t>T/</w:t>
      </w:r>
      <w:r>
        <w:fldChar w:fldCharType="begin">
          <w:ffData>
            <w:name w:val="文字1"/>
            <w:enabled/>
            <w:calcOnExit w:val="0"/>
            <w:textInput>
              <w:default w:val="XXX"/>
            </w:textInput>
          </w:ffData>
        </w:fldChar>
      </w:r>
      <w:bookmarkStart w:id="0" w:name="文字1"/>
      <w:r>
        <w:instrText xml:space="preserve"> FORMTEXT </w:instrText>
      </w:r>
      <w:r>
        <w:fldChar w:fldCharType="separate"/>
      </w:r>
      <w:r>
        <w:t>URTA</w:t>
      </w:r>
      <w:r>
        <w:fldChar w:fldCharType="end"/>
      </w:r>
      <w:bookmarkEnd w:id="0"/>
      <w:r>
        <w:t xml:space="preserve"> </w:t>
      </w:r>
      <w:bookmarkStart w:id="1" w:name="NSTD_CODE_F"/>
      <w:r>
        <w:rPr>
          <w:rFonts w:ascii="黑体" w:hAnsi="Times New Roman" w:eastAsia="黑体" w:cs="Times New Roman"/>
          <w:bCs/>
          <w:sz w:val="28"/>
          <w:szCs w:val="28"/>
          <w:lang w:val="en-US" w:eastAsia="zh-CN" w:bidi="ar-SA"/>
        </w:rPr>
        <w:fldChar w:fldCharType="begin">
          <w:ffData>
            <w:name w:val="NSTD_CODE_F"/>
            <w:enabled/>
            <w:calcOnExit w:val="0"/>
            <w:textInput>
              <w:default w:val="XXXX"/>
            </w:textInput>
          </w:ffData>
        </w:fldChar>
      </w:r>
      <w:r>
        <w:rPr>
          <w:rFonts w:ascii="黑体" w:hAnsi="Times New Roman" w:eastAsia="黑体" w:cs="Times New Roman"/>
          <w:bCs/>
          <w:sz w:val="28"/>
          <w:szCs w:val="28"/>
          <w:lang w:val="en-US" w:eastAsia="zh-CN" w:bidi="ar-SA"/>
        </w:rPr>
        <w:instrText xml:space="preserve">FORMTEXT</w:instrText>
      </w:r>
      <w:r>
        <w:rPr>
          <w:rFonts w:ascii="黑体" w:hAnsi="Times New Roman" w:eastAsia="黑体" w:cs="Times New Roman"/>
          <w:bCs/>
          <w:sz w:val="28"/>
          <w:szCs w:val="28"/>
          <w:lang w:val="en-US" w:eastAsia="zh-CN" w:bidi="ar-SA"/>
        </w:rPr>
        <w:fldChar w:fldCharType="separate"/>
      </w:r>
      <w:r>
        <w:rPr>
          <w:rFonts w:ascii="黑体" w:hAnsi="Times New Roman" w:eastAsia="黑体" w:cs="Times New Roman"/>
          <w:bCs/>
          <w:sz w:val="28"/>
          <w:szCs w:val="28"/>
          <w:lang w:val="en-US" w:eastAsia="zh-CN" w:bidi="ar-SA"/>
        </w:rPr>
        <w:t>XXXX</w:t>
      </w:r>
      <w:r>
        <w:rPr>
          <w:rFonts w:ascii="黑体" w:hAnsi="Times New Roman" w:eastAsia="黑体" w:cs="Times New Roman"/>
          <w:bCs/>
          <w:sz w:val="28"/>
          <w:szCs w:val="28"/>
          <w:lang w:val="en-US" w:eastAsia="zh-CN" w:bidi="ar-SA"/>
        </w:rPr>
        <w:fldChar w:fldCharType="end"/>
      </w:r>
      <w:bookmarkEnd w:id="1"/>
      <w:r>
        <w:rPr>
          <w:rFonts w:hAnsi="黑体"/>
        </w:rPr>
        <w:t>—</w:t>
      </w:r>
      <w:bookmarkStart w:id="2" w:name="NSTD_CODE_B"/>
      <w:r>
        <w:rPr>
          <w:rFonts w:ascii="黑体" w:hAnsi="Times New Roman" w:eastAsia="黑体" w:cs="Times New Roman"/>
          <w:bCs/>
          <w:sz w:val="28"/>
          <w:szCs w:val="28"/>
          <w:lang w:val="en-US" w:eastAsia="zh-CN" w:bidi="ar-SA"/>
        </w:rPr>
        <w:fldChar w:fldCharType="begin">
          <w:ffData>
            <w:name w:val="NSTD_CODE_B"/>
            <w:enabled/>
            <w:calcOnExit w:val="0"/>
            <w:textInput>
              <w:default w:val="2022"/>
            </w:textInput>
          </w:ffData>
        </w:fldChar>
      </w:r>
      <w:r>
        <w:rPr>
          <w:rFonts w:ascii="黑体" w:hAnsi="Times New Roman" w:eastAsia="黑体" w:cs="Times New Roman"/>
          <w:bCs/>
          <w:sz w:val="28"/>
          <w:szCs w:val="28"/>
          <w:lang w:val="en-US" w:eastAsia="zh-CN" w:bidi="ar-SA"/>
        </w:rPr>
        <w:instrText xml:space="preserve">FORMTEXT</w:instrText>
      </w:r>
      <w:r>
        <w:rPr>
          <w:rFonts w:ascii="黑体" w:hAnsi="Times New Roman" w:eastAsia="黑体" w:cs="Times New Roman"/>
          <w:bCs/>
          <w:sz w:val="28"/>
          <w:szCs w:val="28"/>
          <w:lang w:val="en-US" w:eastAsia="zh-CN" w:bidi="ar-SA"/>
        </w:rPr>
        <w:fldChar w:fldCharType="separate"/>
      </w:r>
      <w:r>
        <w:rPr>
          <w:rFonts w:ascii="黑体" w:hAnsi="Times New Roman" w:eastAsia="黑体" w:cs="Times New Roman"/>
          <w:bCs/>
          <w:sz w:val="28"/>
          <w:szCs w:val="28"/>
          <w:lang w:val="en-US" w:eastAsia="zh-CN" w:bidi="ar-SA"/>
        </w:rPr>
        <w:t>2022</w:t>
      </w:r>
      <w:r>
        <w:rPr>
          <w:rFonts w:ascii="黑体" w:hAnsi="Times New Roman" w:eastAsia="黑体" w:cs="Times New Roman"/>
          <w:bCs/>
          <w:sz w:val="28"/>
          <w:szCs w:val="28"/>
          <w:lang w:val="en-US" w:eastAsia="zh-CN" w:bidi="ar-SA"/>
        </w:rPr>
        <w:fldChar w:fldCharType="end"/>
      </w:r>
      <w:bookmarkEnd w:id="2"/>
    </w:p>
    <w:p>
      <w:pPr>
        <w:pStyle w:val="198"/>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ascii="黑体" w:hAnsi="黑体" w:eastAsia="黑体"/>
          <w:b w:val="0"/>
          <w:bCs w:val="0"/>
          <w:w w:val="100"/>
        </w:rPr>
      </w:pPr>
    </w:p>
    <w:p>
      <w:pPr>
        <w:pStyle w:val="199"/>
        <w:framePr w:h="6974" w:hRule="exact" w:x="1419" w:anchorLock="1"/>
      </w:pPr>
      <w:bookmarkStart w:id="4" w:name="CSTD_NAME"/>
      <w:r>
        <w:rPr>
          <w:rFonts w:ascii="黑体" w:hAnsi="黑体" w:eastAsia="黑体" w:cs="Times New Roman"/>
          <w:bCs/>
          <w:sz w:val="52"/>
          <w:lang w:val="en-US" w:eastAsia="zh-CN" w:bidi="ar-SA"/>
        </w:rPr>
        <w:fldChar w:fldCharType="begin">
          <w:ffData>
            <w:name w:val="CSTD_NAME"/>
            <w:enabled/>
            <w:calcOnExit w:val="0"/>
            <w:textInput>
              <w:default w:val="导轨式胶轮系统正式运营安全评估规范"/>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导轨式胶轮系统正式运营安全评估规范</w:t>
      </w:r>
      <w:r>
        <w:rPr>
          <w:rFonts w:ascii="黑体" w:hAnsi="黑体" w:eastAsia="黑体" w:cs="Times New Roman"/>
          <w:bCs/>
          <w:sz w:val="52"/>
          <w:lang w:val="en-US" w:eastAsia="zh-CN" w:bidi="ar-SA"/>
        </w:rPr>
        <w:fldChar w:fldCharType="end"/>
      </w:r>
      <w:bookmarkEnd w:id="4"/>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bookmarkStart w:id="5" w:name="ESTD_NAME"/>
      <w:r>
        <w:rPr>
          <w:rFonts w:ascii="Times New Roman" w:hAnsi="Times New Roman" w:eastAsia="黑体" w:cs="Times New Roman"/>
          <w:sz w:val="28"/>
          <w:szCs w:val="28"/>
          <w:lang w:val="en-US" w:eastAsia="zh-CN" w:bidi="ar-SA"/>
        </w:rPr>
        <w:fldChar w:fldCharType="begin">
          <w:ffData>
            <w:name w:val="ESTD_NAME"/>
            <w:enabled/>
            <w:calcOnExit w:val="0"/>
            <w:textInput>
              <w:default w:val="Specifications for safety assessment before formal operation of beam-guiding rubber-tyred tram system"/>
            </w:textInput>
          </w:ffData>
        </w:fldChar>
      </w:r>
      <w:r>
        <w:rPr>
          <w:rFonts w:ascii="Times New Roman" w:hAnsi="Times New Roman" w:eastAsia="黑体" w:cs="Times New Roman"/>
          <w:sz w:val="28"/>
          <w:szCs w:val="28"/>
          <w:lang w:val="en-US" w:eastAsia="zh-CN" w:bidi="ar-SA"/>
        </w:rPr>
        <w:instrText xml:space="preserve">FORMTEXT</w:instrText>
      </w:r>
      <w:r>
        <w:rPr>
          <w:rFonts w:ascii="Times New Roman" w:hAnsi="Times New Roman" w:eastAsia="黑体" w:cs="Times New Roman"/>
          <w:sz w:val="28"/>
          <w:szCs w:val="28"/>
          <w:lang w:val="en-US" w:eastAsia="zh-CN" w:bidi="ar-SA"/>
        </w:rPr>
        <w:fldChar w:fldCharType="separate"/>
      </w:r>
      <w:r>
        <w:rPr>
          <w:rFonts w:ascii="Times New Roman" w:hAnsi="Times New Roman" w:eastAsia="黑体" w:cs="Times New Roman"/>
          <w:sz w:val="28"/>
          <w:szCs w:val="28"/>
          <w:lang w:val="en-US" w:eastAsia="zh-CN" w:bidi="ar-SA"/>
        </w:rPr>
        <w:t>Specifications for safety assessment before formal operation of beam-guiding rubber-tyred tram system</w:t>
      </w:r>
      <w:r>
        <w:rPr>
          <w:rFonts w:ascii="Times New Roman" w:hAnsi="Times New Roman" w:eastAsia="黑体" w:cs="Times New Roman"/>
          <w:sz w:val="28"/>
          <w:szCs w:val="28"/>
          <w:lang w:val="en-US" w:eastAsia="zh-CN" w:bidi="ar-SA"/>
        </w:rPr>
        <w:fldChar w:fldCharType="end"/>
      </w:r>
      <w:bookmarkEnd w:id="5"/>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720" w:beforeLines="300" w:after="72" w:afterLines="30" w:line="240" w:lineRule="auto"/>
        <w:textAlignment w:val="bottom"/>
        <w:rPr>
          <w:b/>
          <w:sz w:val="21"/>
          <w:szCs w:val="28"/>
        </w:rPr>
      </w:pPr>
    </w:p>
    <w:p>
      <w:pPr>
        <w:pStyle w:val="195"/>
        <w:framePr w:y="14176"/>
      </w:pPr>
      <w:bookmarkStart w:id="6" w:name="PLSH_DATE_Y"/>
      <w:r>
        <w:rPr>
          <w:rFonts w:ascii="黑体" w:hAnsi="Times New Roman" w:eastAsia="黑体" w:cs="Times New Roman"/>
          <w:sz w:val="28"/>
          <w:lang w:val="en-US" w:eastAsia="zh-CN" w:bidi="ar-SA"/>
        </w:rPr>
        <w:fldChar w:fldCharType="begin">
          <w:ffData>
            <w:name w:val="PLSH_DATE_Y"/>
            <w:enabled/>
            <w:calcOnExit w:val="0"/>
            <w:textInput>
              <w:default w:val="2022"/>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2022</w:t>
      </w:r>
      <w:r>
        <w:rPr>
          <w:rFonts w:ascii="黑体" w:hAnsi="Times New Roman" w:eastAsia="黑体" w:cs="Times New Roman"/>
          <w:sz w:val="28"/>
          <w:lang w:val="en-US" w:eastAsia="zh-CN" w:bidi="ar-SA"/>
        </w:rPr>
        <w:fldChar w:fldCharType="end"/>
      </w:r>
      <w:bookmarkEnd w:id="6"/>
      <w:r>
        <w:t xml:space="preserve"> </w:t>
      </w:r>
      <w:r>
        <w:rPr>
          <w:rFonts w:ascii="黑体"/>
        </w:rPr>
        <w:t>-</w:t>
      </w:r>
      <w:r>
        <w:t xml:space="preserve"> </w:t>
      </w:r>
      <w:bookmarkStart w:id="7" w:name="PLSH_DATE_M"/>
      <w:r>
        <w:rPr>
          <w:rFonts w:hint="eastAsia" w:ascii="黑体" w:hAnsi="Times New Roman" w:eastAsia="黑体" w:cs="Times New Roman"/>
          <w:sz w:val="28"/>
          <w:lang w:val="en-US" w:eastAsia="zh-CN" w:bidi="ar-SA"/>
        </w:rPr>
        <w:fldChar w:fldCharType="begin">
          <w:ffData>
            <w:name w:val="PLSH_DATE_M"/>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7"/>
      <w:r>
        <w:t xml:space="preserve"> </w:t>
      </w:r>
      <w:r>
        <w:rPr>
          <w:rFonts w:ascii="黑体"/>
        </w:rPr>
        <w:t>-</w:t>
      </w:r>
      <w:r>
        <w:t xml:space="preserve"> </w:t>
      </w:r>
      <w:bookmarkStart w:id="8" w:name="PLSH_DATE_D"/>
      <w:r>
        <w:rPr>
          <w:rFonts w:hint="eastAsia" w:ascii="黑体" w:hAnsi="Times New Roman" w:eastAsia="黑体" w:cs="Times New Roman"/>
          <w:sz w:val="28"/>
          <w:lang w:val="en-US" w:eastAsia="zh-CN" w:bidi="ar-SA"/>
        </w:rPr>
        <w:fldChar w:fldCharType="begin">
          <w:ffData>
            <w:name w:val="PLSH_DATE_D"/>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8"/>
      <w:r>
        <w:rPr>
          <w:rFonts w:hint="eastAsia"/>
        </w:rPr>
        <w:t>发布</w:t>
      </w:r>
    </w:p>
    <w:p>
      <w:pPr>
        <w:pStyle w:val="196"/>
        <w:framePr w:y="14176"/>
      </w:pPr>
      <w:bookmarkStart w:id="9" w:name="CROT_DATE_Y"/>
      <w:r>
        <w:rPr>
          <w:rFonts w:ascii="黑体" w:hAnsi="Times New Roman" w:eastAsia="黑体" w:cs="Times New Roman"/>
          <w:sz w:val="28"/>
          <w:lang w:val="en-US" w:eastAsia="zh-CN" w:bidi="ar-SA"/>
        </w:rPr>
        <w:fldChar w:fldCharType="begin">
          <w:ffData>
            <w:name w:val="CROT_DATE_Y"/>
            <w:enabled/>
            <w:calcOnExit w:val="0"/>
            <w:textInput>
              <w:default w:val="2022"/>
              <w:maxLength w:val="4"/>
            </w:textInput>
          </w:ffData>
        </w:fldChar>
      </w:r>
      <w:r>
        <w:rPr>
          <w:rFonts w:ascii="黑体" w:hAnsi="Times New Roman" w:eastAsia="黑体" w:cs="Times New Roman"/>
          <w:sz w:val="28"/>
          <w:lang w:val="en-US" w:eastAsia="zh-CN" w:bidi="ar-SA"/>
        </w:rPr>
        <w:instrText xml:space="preserve">FORMTEXT</w:instrText>
      </w:r>
      <w:r>
        <w:rPr>
          <w:rFonts w:ascii="黑体" w:hAnsi="Times New Roman" w:eastAsia="黑体" w:cs="Times New Roman"/>
          <w:sz w:val="28"/>
          <w:lang w:val="en-US" w:eastAsia="zh-CN" w:bidi="ar-SA"/>
        </w:rPr>
        <w:fldChar w:fldCharType="separate"/>
      </w:r>
      <w:r>
        <w:rPr>
          <w:rFonts w:ascii="黑体" w:hAnsi="Times New Roman" w:eastAsia="黑体" w:cs="Times New Roman"/>
          <w:sz w:val="28"/>
          <w:lang w:val="en-US" w:eastAsia="zh-CN" w:bidi="ar-SA"/>
        </w:rPr>
        <w:t>2022</w:t>
      </w:r>
      <w:r>
        <w:rPr>
          <w:rFonts w:ascii="黑体" w:hAnsi="Times New Roman" w:eastAsia="黑体" w:cs="Times New Roman"/>
          <w:sz w:val="28"/>
          <w:lang w:val="en-US" w:eastAsia="zh-CN" w:bidi="ar-SA"/>
        </w:rPr>
        <w:fldChar w:fldCharType="end"/>
      </w:r>
      <w:bookmarkEnd w:id="9"/>
      <w:r>
        <w:t xml:space="preserve"> </w:t>
      </w:r>
      <w:r>
        <w:rPr>
          <w:rFonts w:ascii="黑体"/>
        </w:rPr>
        <w:t>-</w:t>
      </w:r>
      <w:r>
        <w:t xml:space="preserve"> </w:t>
      </w:r>
      <w:bookmarkStart w:id="10" w:name="CROT_DATE_M"/>
      <w:r>
        <w:rPr>
          <w:rFonts w:hint="eastAsia" w:ascii="黑体" w:hAnsi="Times New Roman" w:eastAsia="黑体" w:cs="Times New Roman"/>
          <w:sz w:val="28"/>
          <w:lang w:val="en-US" w:eastAsia="zh-CN" w:bidi="ar-SA"/>
        </w:rPr>
        <w:fldChar w:fldCharType="begin">
          <w:ffData>
            <w:name w:val="CROT_DATE_M"/>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10"/>
      <w:r>
        <w:t xml:space="preserve"> </w:t>
      </w:r>
      <w:r>
        <w:rPr>
          <w:rFonts w:ascii="黑体"/>
        </w:rPr>
        <w:t>-</w:t>
      </w:r>
      <w:r>
        <w:t xml:space="preserve"> </w:t>
      </w:r>
      <w:bookmarkStart w:id="11" w:name="CROT_DATE_D"/>
      <w:r>
        <w:rPr>
          <w:rFonts w:hint="eastAsia" w:ascii="黑体" w:hAnsi="Times New Roman" w:eastAsia="黑体" w:cs="Times New Roman"/>
          <w:sz w:val="28"/>
          <w:lang w:val="en-US" w:eastAsia="zh-CN" w:bidi="ar-SA"/>
        </w:rPr>
        <w:fldChar w:fldCharType="begin">
          <w:ffData>
            <w:name w:val="CROT_DATE_D"/>
            <w:enabled/>
            <w:calcOnExit w:val="0"/>
            <w:textInput>
              <w:default w:val="XX"/>
              <w:maxLength w:val="2"/>
            </w:textInput>
          </w:ffData>
        </w:fldChar>
      </w:r>
      <w:r>
        <w:rPr>
          <w:rFonts w:hint="eastAsia" w:ascii="黑体" w:hAnsi="Times New Roman" w:eastAsia="黑体" w:cs="Times New Roman"/>
          <w:sz w:val="28"/>
          <w:lang w:val="en-US" w:eastAsia="zh-CN" w:bidi="ar-SA"/>
        </w:rPr>
        <w:instrText xml:space="preserve">FORMTEXT</w:instrText>
      </w:r>
      <w:r>
        <w:rPr>
          <w:rFonts w:hint="eastAsia" w:ascii="黑体" w:hAnsi="Times New Roman" w:eastAsia="黑体" w:cs="Times New Roman"/>
          <w:sz w:val="28"/>
          <w:lang w:val="en-US" w:eastAsia="zh-CN" w:bidi="ar-SA"/>
        </w:rPr>
        <w:fldChar w:fldCharType="separate"/>
      </w:r>
      <w:r>
        <w:rPr>
          <w:rFonts w:hint="eastAsia" w:ascii="黑体" w:hAnsi="Times New Roman" w:eastAsia="黑体" w:cs="Times New Roman"/>
          <w:sz w:val="28"/>
          <w:lang w:val="en-US" w:eastAsia="zh-CN" w:bidi="ar-SA"/>
        </w:rPr>
        <w:t>XX</w:t>
      </w:r>
      <w:r>
        <w:rPr>
          <w:rFonts w:hint="eastAsia" w:ascii="黑体" w:hAnsi="Times New Roman" w:eastAsia="黑体" w:cs="Times New Roman"/>
          <w:sz w:val="28"/>
          <w:lang w:val="en-US" w:eastAsia="zh-CN" w:bidi="ar-SA"/>
        </w:rPr>
        <w:fldChar w:fldCharType="end"/>
      </w:r>
      <w:bookmarkEnd w:id="11"/>
      <w:r>
        <w:rPr>
          <w:rFonts w:hint="eastAsia"/>
        </w:rPr>
        <w:t>实施</w:t>
      </w:r>
    </w:p>
    <w:p>
      <w:pPr>
        <w:pStyle w:val="153"/>
        <w:framePr w:h="584" w:hRule="exact" w:hSpace="181" w:vSpace="181" w:y="14800"/>
        <w:rPr>
          <w:rFonts w:hAnsi="黑体"/>
        </w:rPr>
      </w:pPr>
      <w:r>
        <w:rPr>
          <w:rFonts w:hAnsi="黑体"/>
          <w:w w:val="100"/>
          <w:sz w:val="28"/>
        </w:rPr>
        <w:fldChar w:fldCharType="begin">
          <w:ffData>
            <w:name w:val="fm"/>
            <w:enabled/>
            <w:calcOnExit w:val="0"/>
            <w:textInput/>
          </w:ffData>
        </w:fldChar>
      </w:r>
      <w:bookmarkStart w:id="12" w:name="fm"/>
      <w:r>
        <w:rPr>
          <w:rFonts w:hAnsi="黑体"/>
          <w:w w:val="100"/>
          <w:sz w:val="28"/>
        </w:rPr>
        <w:instrText xml:space="preserve"> FORMTEXT </w:instrText>
      </w:r>
      <w:r>
        <w:rPr>
          <w:rFonts w:hAnsi="黑体"/>
          <w:w w:val="100"/>
          <w:sz w:val="28"/>
        </w:rPr>
        <w:fldChar w:fldCharType="separate"/>
      </w:r>
      <w:r>
        <w:rPr>
          <w:rFonts w:hint="eastAsia" w:hAnsi="黑体"/>
          <w:w w:val="100"/>
          <w:sz w:val="28"/>
        </w:rPr>
        <w:t>深圳市城市轨道交通协会</w:t>
      </w:r>
      <w:r>
        <w:rPr>
          <w:rFonts w:hAnsi="黑体"/>
          <w:w w:val="100"/>
          <w:sz w:val="28"/>
        </w:rPr>
        <w:fldChar w:fldCharType="end"/>
      </w:r>
      <w:bookmarkEnd w:id="12"/>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pStyle w:val="152"/>
        <w:framePr w:w="9405" w:hSpace="181" w:vSpace="181" w:wrap="around" w:vAnchor="page" w:hAnchor="page" w:x="1418" w:y="2031"/>
        <w:pBdr>
          <w:top w:val="none" w:color="auto" w:sz="0" w:space="0"/>
          <w:left w:val="none" w:color="auto" w:sz="0" w:space="0"/>
          <w:bottom w:val="none" w:color="auto" w:sz="0" w:space="0"/>
          <w:right w:val="none" w:color="auto" w:sz="0" w:space="0"/>
        </w:pBdr>
        <w:jc w:val="center"/>
        <w:rPr>
          <w:b/>
          <w:color w:val="000000"/>
          <w:spacing w:val="30"/>
          <w:sz w:val="84"/>
          <w:szCs w:val="84"/>
        </w:rPr>
      </w:pPr>
      <w:r>
        <w:rPr>
          <w:b/>
          <w:color w:val="000000"/>
          <w:spacing w:val="30"/>
          <w:sz w:val="84"/>
          <w:szCs w:val="84"/>
        </w:rPr>
        <w:fldChar w:fldCharType="begin">
          <w:ffData>
            <w:name w:val="c4"/>
            <w:enabled/>
            <w:calcOnExit w:val="0"/>
            <w:textInput>
              <w:default w:val="团体标准"/>
            </w:textInput>
          </w:ffData>
        </w:fldChar>
      </w:r>
      <w:r>
        <w:rPr>
          <w:b/>
          <w:color w:val="000000"/>
          <w:spacing w:val="30"/>
          <w:sz w:val="84"/>
          <w:szCs w:val="84"/>
        </w:rPr>
        <w:instrText xml:space="preserve"> FORMTEXT </w:instrText>
      </w:r>
      <w:r>
        <w:rPr>
          <w:b/>
          <w:color w:val="000000"/>
          <w:spacing w:val="30"/>
          <w:sz w:val="84"/>
          <w:szCs w:val="84"/>
        </w:rPr>
        <w:fldChar w:fldCharType="separate"/>
      </w:r>
      <w:r>
        <w:rPr>
          <w:b/>
          <w:color w:val="000000"/>
          <w:spacing w:val="30"/>
          <w:sz w:val="84"/>
          <w:szCs w:val="84"/>
        </w:rPr>
        <w:t>团</w:t>
      </w:r>
      <w:r>
        <w:rPr>
          <w:rFonts w:hint="eastAsia"/>
          <w:b/>
          <w:color w:val="000000"/>
          <w:spacing w:val="30"/>
          <w:sz w:val="84"/>
          <w:szCs w:val="84"/>
        </w:rPr>
        <w:t xml:space="preserve"> </w:t>
      </w:r>
      <w:r>
        <w:rPr>
          <w:b/>
          <w:color w:val="000000"/>
          <w:spacing w:val="30"/>
          <w:sz w:val="84"/>
          <w:szCs w:val="84"/>
        </w:rPr>
        <w:t xml:space="preserve">   体</w:t>
      </w:r>
      <w:r>
        <w:rPr>
          <w:rFonts w:hint="eastAsia"/>
          <w:b/>
          <w:color w:val="000000"/>
          <w:spacing w:val="30"/>
          <w:sz w:val="84"/>
          <w:szCs w:val="84"/>
        </w:rPr>
        <w:t xml:space="preserve"> </w:t>
      </w:r>
      <w:r>
        <w:rPr>
          <w:b/>
          <w:color w:val="000000"/>
          <w:spacing w:val="30"/>
          <w:sz w:val="84"/>
          <w:szCs w:val="84"/>
        </w:rPr>
        <w:t xml:space="preserve"> </w:t>
      </w:r>
      <w:r>
        <w:rPr>
          <w:rFonts w:hint="eastAsia"/>
          <w:b/>
          <w:color w:val="000000"/>
          <w:spacing w:val="30"/>
          <w:sz w:val="84"/>
          <w:szCs w:val="84"/>
        </w:rPr>
        <w:t xml:space="preserve">  </w:t>
      </w:r>
      <w:r>
        <w:rPr>
          <w:b/>
          <w:color w:val="000000"/>
          <w:spacing w:val="30"/>
          <w:sz w:val="84"/>
          <w:szCs w:val="84"/>
        </w:rPr>
        <w:t>标</w:t>
      </w:r>
      <w:r>
        <w:rPr>
          <w:rFonts w:hint="eastAsia"/>
          <w:b/>
          <w:color w:val="000000"/>
          <w:spacing w:val="30"/>
          <w:sz w:val="84"/>
          <w:szCs w:val="84"/>
        </w:rPr>
        <w:t xml:space="preserve">    </w:t>
      </w:r>
      <w:r>
        <w:rPr>
          <w:b/>
          <w:color w:val="000000"/>
          <w:spacing w:val="30"/>
          <w:sz w:val="84"/>
          <w:szCs w:val="84"/>
        </w:rPr>
        <w:t>准</w:t>
      </w:r>
      <w:r>
        <w:rPr>
          <w:b/>
          <w:color w:val="000000"/>
          <w:spacing w:val="30"/>
          <w:sz w:val="84"/>
          <w:szCs w:val="84"/>
        </w:rPr>
        <w:fldChar w:fldCharType="end"/>
      </w:r>
    </w:p>
    <w:p>
      <w:pPr>
        <w:rPr>
          <w:rFonts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3"/>
        <w:spacing w:after="360"/>
      </w:pPr>
      <w:bookmarkStart w:id="13" w:name="BookMark1"/>
      <w:bookmarkStart w:id="14" w:name="_Toc82621522"/>
      <w:r>
        <w:rPr>
          <w:rFonts w:hint="eastAsia"/>
          <w:spacing w:val="320"/>
        </w:rPr>
        <w:t>目</w:t>
      </w:r>
      <w:r>
        <w:rPr>
          <w:rFonts w:hint="eastAsia"/>
        </w:rPr>
        <w:t>次</w:t>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TOC \o "1-1" \h \t "标准文件_一级条标题,2,标准文件_附录一级条标题,2,"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_Toc32121 </w:instrText>
      </w:r>
      <w:r>
        <w:rPr>
          <w:rFonts w:hint="eastAsia" w:ascii="宋体" w:hAnsi="宋体" w:eastAsia="宋体" w:cs="宋体"/>
          <w:sz w:val="21"/>
          <w:szCs w:val="21"/>
        </w:rPr>
        <w:fldChar w:fldCharType="separate"/>
      </w:r>
      <w:r>
        <w:rPr>
          <w:rFonts w:hint="eastAsia" w:ascii="宋体" w:hAnsi="宋体" w:eastAsia="宋体" w:cs="宋体"/>
          <w:sz w:val="21"/>
          <w:szCs w:val="21"/>
        </w:rPr>
        <w:t>前言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_Toc32121 \h </w:instrText>
      </w:r>
      <w:r>
        <w:rPr>
          <w:rFonts w:hint="eastAsia" w:ascii="宋体" w:hAnsi="宋体" w:eastAsia="宋体" w:cs="宋体"/>
          <w:sz w:val="21"/>
          <w:szCs w:val="21"/>
        </w:rPr>
        <w:fldChar w:fldCharType="separate"/>
      </w:r>
      <w:r>
        <w:rPr>
          <w:rFonts w:hint="eastAsia" w:ascii="宋体" w:hAnsi="宋体" w:eastAsia="宋体" w:cs="宋体"/>
          <w:sz w:val="21"/>
          <w:szCs w:val="21"/>
        </w:rPr>
        <w:t>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_Toc2258 </w:instrText>
      </w:r>
      <w:r>
        <w:rPr>
          <w:rFonts w:hint="eastAsia" w:ascii="宋体" w:hAnsi="宋体" w:eastAsia="宋体" w:cs="宋体"/>
          <w:sz w:val="21"/>
          <w:szCs w:val="21"/>
        </w:rPr>
        <w:fldChar w:fldCharType="separate"/>
      </w:r>
      <w:r>
        <w:rPr>
          <w:rFonts w:hint="eastAsia" w:ascii="宋体" w:hAnsi="宋体" w:eastAsia="宋体" w:cs="宋体"/>
          <w:sz w:val="21"/>
          <w:szCs w:val="21"/>
        </w:rPr>
        <w:t>引言</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_Toc2258 \h </w:instrText>
      </w:r>
      <w:r>
        <w:rPr>
          <w:rFonts w:hint="eastAsia" w:ascii="宋体" w:hAnsi="宋体" w:eastAsia="宋体" w:cs="宋体"/>
          <w:sz w:val="21"/>
          <w:szCs w:val="21"/>
        </w:rPr>
        <w:fldChar w:fldCharType="separate"/>
      </w:r>
      <w:r>
        <w:rPr>
          <w:rFonts w:hint="eastAsia" w:ascii="宋体" w:hAnsi="宋体" w:eastAsia="宋体" w:cs="宋体"/>
          <w:sz w:val="21"/>
          <w:szCs w:val="21"/>
        </w:rPr>
        <w:t>III</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_Toc17436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1 </w:t>
      </w:r>
      <w:r>
        <w:rPr>
          <w:rFonts w:hint="default" w:hAnsi="宋体" w:cs="宋体"/>
          <w:i w:val="0"/>
          <w:sz w:val="21"/>
          <w:szCs w:val="21"/>
          <w:lang w:val="en-US"/>
        </w:rPr>
        <w:t xml:space="preserve"> </w:t>
      </w:r>
      <w:r>
        <w:rPr>
          <w:rFonts w:hint="eastAsia" w:ascii="宋体" w:hAnsi="宋体" w:eastAsia="宋体" w:cs="宋体"/>
          <w:sz w:val="21"/>
          <w:szCs w:val="21"/>
        </w:rPr>
        <w:t>范围</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_Toc17436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_Toc22383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2 </w:t>
      </w:r>
      <w:r>
        <w:rPr>
          <w:rFonts w:hint="default" w:hAnsi="宋体" w:cs="宋体"/>
          <w:i w:val="0"/>
          <w:sz w:val="21"/>
          <w:szCs w:val="21"/>
          <w:lang w:val="en-US"/>
        </w:rPr>
        <w:t xml:space="preserve"> </w:t>
      </w:r>
      <w:r>
        <w:rPr>
          <w:rFonts w:hint="eastAsia" w:ascii="宋体" w:hAnsi="宋体" w:eastAsia="宋体" w:cs="宋体"/>
          <w:sz w:val="21"/>
          <w:szCs w:val="21"/>
        </w:rPr>
        <w:t>规范性引用文件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_Toc22383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_Toc30295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3 </w:t>
      </w:r>
      <w:r>
        <w:rPr>
          <w:rFonts w:hint="default" w:hAnsi="宋体" w:cs="宋体"/>
          <w:i w:val="0"/>
          <w:sz w:val="21"/>
          <w:szCs w:val="21"/>
          <w:lang w:val="en-US"/>
        </w:rPr>
        <w:t xml:space="preserve"> </w:t>
      </w:r>
      <w:r>
        <w:rPr>
          <w:rFonts w:hint="eastAsia" w:ascii="宋体" w:hAnsi="宋体" w:eastAsia="宋体" w:cs="宋体"/>
          <w:sz w:val="21"/>
          <w:szCs w:val="21"/>
        </w:rPr>
        <w:t>术语和定义</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_Toc30295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_Toc21928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4</w:t>
      </w:r>
      <w:r>
        <w:rPr>
          <w:rFonts w:hint="default" w:hAnsi="宋体" w:cs="宋体"/>
          <w:i w:val="0"/>
          <w:sz w:val="21"/>
          <w:szCs w:val="21"/>
          <w:lang w:val="en-US"/>
        </w:rPr>
        <w:t xml:space="preserve"> </w:t>
      </w:r>
      <w:r>
        <w:rPr>
          <w:rFonts w:hint="eastAsia" w:ascii="宋体" w:hAnsi="宋体" w:eastAsia="宋体" w:cs="宋体"/>
          <w:i w:val="0"/>
          <w:sz w:val="21"/>
          <w:szCs w:val="21"/>
        </w:rPr>
        <w:t xml:space="preserve"> </w:t>
      </w:r>
      <w:r>
        <w:rPr>
          <w:rFonts w:hint="eastAsia" w:ascii="宋体" w:hAnsi="宋体" w:eastAsia="宋体" w:cs="宋体"/>
          <w:sz w:val="21"/>
          <w:szCs w:val="21"/>
        </w:rPr>
        <w:t>缩略语</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_Toc21928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_Toc28552 </w:instrText>
      </w:r>
      <w:r>
        <w:rPr>
          <w:rFonts w:hint="eastAsia" w:ascii="宋体" w:hAnsi="宋体" w:eastAsia="宋体" w:cs="宋体"/>
          <w:sz w:val="21"/>
          <w:szCs w:val="21"/>
        </w:rPr>
        <w:fldChar w:fldCharType="separate"/>
      </w:r>
      <w:r>
        <w:rPr>
          <w:rFonts w:hint="eastAsia" w:ascii="宋体" w:hAnsi="宋体" w:eastAsia="宋体" w:cs="宋体"/>
          <w:i w:val="0"/>
          <w:sz w:val="21"/>
          <w:szCs w:val="21"/>
        </w:rPr>
        <w:t xml:space="preserve">5 </w:t>
      </w:r>
      <w:r>
        <w:rPr>
          <w:rFonts w:hint="default" w:hAnsi="宋体" w:cs="宋体"/>
          <w:i w:val="0"/>
          <w:sz w:val="21"/>
          <w:szCs w:val="21"/>
          <w:lang w:val="en-US"/>
        </w:rPr>
        <w:t xml:space="preserve"> </w:t>
      </w:r>
      <w:r>
        <w:rPr>
          <w:rFonts w:hint="eastAsia" w:ascii="宋体" w:hAnsi="宋体" w:eastAsia="宋体" w:cs="宋体"/>
          <w:sz w:val="21"/>
          <w:szCs w:val="21"/>
          <w:lang w:val="en-US" w:eastAsia="zh-CN"/>
        </w:rPr>
        <w:t>基本规定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_Toc28552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_Toc30371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5.1 </w:t>
      </w:r>
      <w:r>
        <w:rPr>
          <w:rFonts w:hint="default" w:hAnsi="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评估对象</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_Toc30371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_Toc11918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5.2 </w:t>
      </w:r>
      <w:r>
        <w:rPr>
          <w:rFonts w:hint="default" w:hAnsi="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评估条件</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_Toc11918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_Toc31946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5.3 </w:t>
      </w:r>
      <w:r>
        <w:rPr>
          <w:rFonts w:hint="default" w:hAnsi="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评估指标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_Toc31946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_Toc22287 </w:instrText>
      </w:r>
      <w:r>
        <w:rPr>
          <w:rFonts w:hint="eastAsia" w:ascii="宋体" w:hAnsi="宋体" w:eastAsia="宋体" w:cs="宋体"/>
          <w:sz w:val="21"/>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sz w:val="21"/>
          <w:szCs w:val="21"/>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5.4 </w:t>
      </w:r>
      <w:r>
        <w:rPr>
          <w:rFonts w:hint="default" w:hAnsi="宋体" w:cs="宋体"/>
          <w:bCs w:val="0"/>
          <w:i w:val="0"/>
          <w:iCs w:val="0"/>
          <w:caps w:val="0"/>
          <w:smallCaps w:val="0"/>
          <w:strike w:val="0"/>
          <w:dstrike w:val="0"/>
          <w:vanish w:val="0"/>
          <w:spacing w:val="0"/>
          <w:kern w:val="0"/>
          <w:position w:val="0"/>
          <w:sz w:val="21"/>
          <w:szCs w:val="21"/>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sz w:val="21"/>
          <w:szCs w:val="21"/>
        </w:rPr>
        <w:t>评估程序</w:t>
      </w:r>
      <w:r>
        <w:rPr>
          <w:rFonts w:hint="eastAsia" w:ascii="宋体" w:hAnsi="宋体" w:eastAsia="宋体" w:cs="宋体"/>
          <w:sz w:val="21"/>
          <w:szCs w:val="21"/>
          <w:lang w:eastAsia="zh-CN"/>
        </w:rPr>
        <w:t>及方式</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_Toc22287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_Toc26054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6 </w:t>
      </w:r>
      <w:r>
        <w:rPr>
          <w:rFonts w:hint="default" w:hAnsi="宋体" w:cs="宋体"/>
          <w:i w:val="0"/>
          <w:sz w:val="21"/>
          <w:szCs w:val="21"/>
          <w:lang w:val="en-US" w:eastAsia="zh-CN"/>
        </w:rPr>
        <w:t xml:space="preserve"> 风险分级管控与隐患排查治理</w:t>
      </w:r>
      <w:r>
        <w:rPr>
          <w:rFonts w:hint="eastAsia" w:ascii="宋体" w:hAnsi="宋体" w:eastAsia="宋体" w:cs="宋体"/>
          <w:sz w:val="21"/>
          <w:szCs w:val="21"/>
        </w:rPr>
        <w:tab/>
      </w:r>
      <w:r>
        <w:rPr>
          <w:rFonts w:hint="eastAsia" w:hAnsi="宋体" w:cs="宋体"/>
          <w:sz w:val="21"/>
          <w:szCs w:val="21"/>
          <w:lang w:val="en-US" w:eastAsia="zh-CN"/>
        </w:rPr>
        <w:t>2</w:t>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_Toc18277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7</w:t>
      </w:r>
      <w:r>
        <w:rPr>
          <w:rFonts w:hint="default" w:hAnsi="宋体" w:cs="宋体"/>
          <w:i w:val="0"/>
          <w:sz w:val="21"/>
          <w:szCs w:val="21"/>
          <w:lang w:val="en-US" w:eastAsia="zh-CN"/>
        </w:rPr>
        <w:t xml:space="preserve"> </w:t>
      </w:r>
      <w:r>
        <w:rPr>
          <w:rFonts w:hint="eastAsia" w:ascii="宋体" w:hAnsi="宋体" w:eastAsia="宋体" w:cs="宋体"/>
          <w:i w:val="0"/>
          <w:sz w:val="21"/>
          <w:szCs w:val="21"/>
          <w:lang w:val="en-US" w:eastAsia="zh-CN"/>
        </w:rPr>
        <w:t xml:space="preserve"> </w:t>
      </w:r>
      <w:r>
        <w:rPr>
          <w:rFonts w:hint="eastAsia" w:ascii="宋体" w:hAnsi="宋体" w:eastAsia="宋体" w:cs="宋体"/>
          <w:sz w:val="21"/>
          <w:szCs w:val="21"/>
          <w:lang w:val="en-US" w:eastAsia="zh-CN"/>
        </w:rPr>
        <w:t>行车组织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_Toc18277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_Toc2313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8 </w:t>
      </w:r>
      <w:r>
        <w:rPr>
          <w:rFonts w:hint="default" w:hAnsi="宋体" w:cs="宋体"/>
          <w:i w:val="0"/>
          <w:sz w:val="21"/>
          <w:szCs w:val="21"/>
          <w:lang w:val="en-US" w:eastAsia="zh-CN"/>
        </w:rPr>
        <w:t xml:space="preserve"> </w:t>
      </w:r>
      <w:r>
        <w:rPr>
          <w:rFonts w:hint="eastAsia" w:ascii="宋体" w:hAnsi="宋体" w:eastAsia="宋体" w:cs="宋体"/>
          <w:sz w:val="21"/>
          <w:szCs w:val="21"/>
          <w:lang w:val="en-US" w:eastAsia="zh-CN"/>
        </w:rPr>
        <w:t>客运组织</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_Toc2313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_Toc32144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9 </w:t>
      </w:r>
      <w:r>
        <w:rPr>
          <w:rFonts w:hint="default" w:hAnsi="宋体" w:cs="宋体"/>
          <w:i w:val="0"/>
          <w:sz w:val="21"/>
          <w:szCs w:val="21"/>
          <w:lang w:val="en-US" w:eastAsia="zh-CN"/>
        </w:rPr>
        <w:t xml:space="preserve"> </w:t>
      </w:r>
      <w:r>
        <w:rPr>
          <w:rFonts w:hint="eastAsia" w:ascii="宋体" w:hAnsi="宋体" w:eastAsia="宋体" w:cs="宋体"/>
          <w:sz w:val="21"/>
          <w:szCs w:val="21"/>
          <w:lang w:val="en-US" w:eastAsia="zh-CN"/>
        </w:rPr>
        <w:t>设施设备运行维护</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_Toc32144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_Toc31208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9.1 </w:t>
      </w:r>
      <w:r>
        <w:rPr>
          <w:rFonts w:hint="default" w:hAnsi="宋体" w:cs="宋体"/>
          <w:sz w:val="21"/>
          <w:szCs w:val="21"/>
          <w:lang w:val="en-US"/>
        </w:rPr>
        <w:t xml:space="preserve"> </w:t>
      </w:r>
      <w:r>
        <w:rPr>
          <w:rFonts w:hint="eastAsia" w:ascii="宋体" w:hAnsi="宋体" w:eastAsia="宋体" w:cs="宋体"/>
          <w:sz w:val="21"/>
          <w:szCs w:val="21"/>
        </w:rPr>
        <w:t>一般规定</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_Toc31208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_Toc21976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9.2 </w:t>
      </w:r>
      <w:r>
        <w:rPr>
          <w:rFonts w:hint="default" w:hAnsi="宋体" w:cs="宋体"/>
          <w:sz w:val="21"/>
          <w:szCs w:val="21"/>
          <w:lang w:val="en-US"/>
        </w:rPr>
        <w:t xml:space="preserve"> </w:t>
      </w:r>
      <w:r>
        <w:rPr>
          <w:rFonts w:hint="eastAsia" w:ascii="宋体" w:hAnsi="宋体" w:eastAsia="宋体" w:cs="宋体"/>
          <w:sz w:val="21"/>
          <w:szCs w:val="21"/>
        </w:rPr>
        <w:t>土建设施</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_Toc21976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_Toc2060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9.3 </w:t>
      </w:r>
      <w:r>
        <w:rPr>
          <w:rFonts w:hint="default" w:hAnsi="宋体" w:cs="宋体"/>
          <w:sz w:val="21"/>
          <w:szCs w:val="21"/>
          <w:lang w:val="en-US"/>
        </w:rPr>
        <w:t xml:space="preserve"> </w:t>
      </w:r>
      <w:r>
        <w:rPr>
          <w:rFonts w:hint="eastAsia" w:ascii="宋体" w:hAnsi="宋体" w:eastAsia="宋体" w:cs="宋体"/>
          <w:sz w:val="21"/>
          <w:szCs w:val="21"/>
        </w:rPr>
        <w:t>车辆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_Toc2060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_Toc13460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9.4 </w:t>
      </w:r>
      <w:r>
        <w:rPr>
          <w:rFonts w:hint="default" w:hAnsi="宋体" w:cs="宋体"/>
          <w:sz w:val="21"/>
          <w:szCs w:val="21"/>
          <w:lang w:val="en-US"/>
        </w:rPr>
        <w:t xml:space="preserve"> </w:t>
      </w:r>
      <w:r>
        <w:rPr>
          <w:rFonts w:hint="eastAsia" w:ascii="宋体" w:hAnsi="宋体" w:eastAsia="宋体" w:cs="宋体"/>
          <w:sz w:val="21"/>
          <w:szCs w:val="21"/>
        </w:rPr>
        <w:t>通信系统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_Toc13460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_Toc26108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9.5 </w:t>
      </w:r>
      <w:r>
        <w:rPr>
          <w:rFonts w:hint="default" w:hAnsi="宋体" w:cs="宋体"/>
          <w:sz w:val="21"/>
          <w:szCs w:val="21"/>
          <w:lang w:val="en-US"/>
        </w:rPr>
        <w:t xml:space="preserve"> </w:t>
      </w:r>
      <w:r>
        <w:rPr>
          <w:rFonts w:hint="eastAsia" w:ascii="宋体" w:hAnsi="宋体" w:eastAsia="宋体" w:cs="宋体"/>
          <w:sz w:val="21"/>
          <w:szCs w:val="21"/>
        </w:rPr>
        <w:t>信号系统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_Toc26108 \h </w:instrText>
      </w:r>
      <w:r>
        <w:rPr>
          <w:rFonts w:hint="eastAsia" w:ascii="宋体" w:hAnsi="宋体" w:eastAsia="宋体" w:cs="宋体"/>
          <w:sz w:val="21"/>
          <w:szCs w:val="21"/>
        </w:rPr>
        <w:fldChar w:fldCharType="separate"/>
      </w:r>
      <w:r>
        <w:rPr>
          <w:rFonts w:hint="eastAsia" w:ascii="宋体" w:hAnsi="宋体" w:eastAsia="宋体" w:cs="宋体"/>
          <w:sz w:val="21"/>
          <w:szCs w:val="21"/>
        </w:rPr>
        <w:t>10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_Toc27509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9.6 </w:t>
      </w:r>
      <w:r>
        <w:rPr>
          <w:rFonts w:hint="default" w:hAnsi="宋体" w:cs="宋体"/>
          <w:sz w:val="21"/>
          <w:szCs w:val="21"/>
          <w:lang w:val="en-US"/>
        </w:rPr>
        <w:t xml:space="preserve"> </w:t>
      </w:r>
      <w:r>
        <w:rPr>
          <w:rFonts w:hint="eastAsia" w:ascii="宋体" w:hAnsi="宋体" w:eastAsia="宋体" w:cs="宋体"/>
          <w:sz w:val="21"/>
          <w:szCs w:val="21"/>
        </w:rPr>
        <w:t>供电系统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_Toc27509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_Toc4586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9.7 </w:t>
      </w:r>
      <w:r>
        <w:rPr>
          <w:rFonts w:hint="default" w:hAnsi="宋体" w:cs="宋体"/>
          <w:sz w:val="21"/>
          <w:szCs w:val="21"/>
          <w:lang w:val="en-US"/>
        </w:rPr>
        <w:t xml:space="preserve"> </w:t>
      </w:r>
      <w:r>
        <w:rPr>
          <w:rFonts w:hint="eastAsia" w:ascii="宋体" w:hAnsi="宋体" w:eastAsia="宋体" w:cs="宋体"/>
          <w:sz w:val="21"/>
          <w:szCs w:val="21"/>
        </w:rPr>
        <w:t>自动售检票系统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_Toc4586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_Toc11805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9.8 </w:t>
      </w:r>
      <w:r>
        <w:rPr>
          <w:rFonts w:hint="default" w:hAnsi="宋体" w:cs="宋体"/>
          <w:sz w:val="21"/>
          <w:szCs w:val="21"/>
          <w:lang w:val="en-US"/>
        </w:rPr>
        <w:t xml:space="preserve"> </w:t>
      </w:r>
      <w:r>
        <w:rPr>
          <w:rFonts w:hint="eastAsia" w:ascii="宋体" w:hAnsi="宋体" w:eastAsia="宋体" w:cs="宋体"/>
          <w:sz w:val="21"/>
          <w:szCs w:val="21"/>
        </w:rPr>
        <w:t>综合监控系统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_Toc11805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_Toc20031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9.9 </w:t>
      </w:r>
      <w:r>
        <w:rPr>
          <w:rFonts w:hint="default" w:hAnsi="宋体" w:cs="宋体"/>
          <w:sz w:val="21"/>
          <w:szCs w:val="21"/>
          <w:lang w:val="en-US"/>
        </w:rPr>
        <w:t xml:space="preserve"> </w:t>
      </w:r>
      <w:r>
        <w:rPr>
          <w:rFonts w:hint="eastAsia" w:ascii="宋体" w:hAnsi="宋体" w:eastAsia="宋体" w:cs="宋体"/>
          <w:sz w:val="21"/>
          <w:szCs w:val="21"/>
        </w:rPr>
        <w:t>火灾自动报警系统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_Toc20031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_Toc25948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9.10 </w:t>
      </w:r>
      <w:r>
        <w:rPr>
          <w:rFonts w:hint="default" w:hAnsi="宋体" w:cs="宋体"/>
          <w:sz w:val="21"/>
          <w:szCs w:val="21"/>
          <w:lang w:val="en-US"/>
        </w:rPr>
        <w:t xml:space="preserve"> </w:t>
      </w:r>
      <w:r>
        <w:rPr>
          <w:rFonts w:hint="eastAsia" w:ascii="宋体" w:hAnsi="宋体" w:eastAsia="宋体" w:cs="宋体"/>
          <w:sz w:val="21"/>
          <w:szCs w:val="21"/>
        </w:rPr>
        <w:t>电梯、自动扶梯</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_Toc25948 \h </w:instrText>
      </w:r>
      <w:r>
        <w:rPr>
          <w:rFonts w:hint="eastAsia" w:ascii="宋体" w:hAnsi="宋体" w:eastAsia="宋体" w:cs="宋体"/>
          <w:sz w:val="21"/>
          <w:szCs w:val="21"/>
        </w:rPr>
        <w:fldChar w:fldCharType="separate"/>
      </w:r>
      <w:r>
        <w:rPr>
          <w:rFonts w:hint="eastAsia" w:ascii="宋体" w:hAnsi="宋体" w:eastAsia="宋体" w:cs="宋体"/>
          <w:sz w:val="21"/>
          <w:szCs w:val="21"/>
        </w:rPr>
        <w:t>11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_Toc30826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9.11 </w:t>
      </w:r>
      <w:r>
        <w:rPr>
          <w:rFonts w:hint="default" w:hAnsi="宋体" w:cs="宋体"/>
          <w:sz w:val="21"/>
          <w:szCs w:val="21"/>
          <w:lang w:val="en-US"/>
        </w:rPr>
        <w:t xml:space="preserve"> </w:t>
      </w:r>
      <w:r>
        <w:rPr>
          <w:rFonts w:hint="eastAsia" w:ascii="宋体" w:hAnsi="宋体" w:eastAsia="宋体" w:cs="宋体"/>
          <w:sz w:val="21"/>
          <w:szCs w:val="21"/>
        </w:rPr>
        <w:t>通风空调系统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_Toc30826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_Toc14653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9.12 </w:t>
      </w:r>
      <w:r>
        <w:rPr>
          <w:rFonts w:hint="default" w:hAnsi="宋体" w:cs="宋体"/>
          <w:sz w:val="21"/>
          <w:szCs w:val="21"/>
          <w:lang w:val="en-US"/>
        </w:rPr>
        <w:t xml:space="preserve"> </w:t>
      </w:r>
      <w:r>
        <w:rPr>
          <w:rFonts w:hint="eastAsia" w:ascii="宋体" w:hAnsi="宋体" w:eastAsia="宋体" w:cs="宋体"/>
          <w:sz w:val="21"/>
          <w:szCs w:val="21"/>
        </w:rPr>
        <w:t>给排水及消防系统</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_Toc14653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_Toc16194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9.13 </w:t>
      </w:r>
      <w:r>
        <w:rPr>
          <w:rFonts w:hint="default" w:hAnsi="宋体" w:cs="宋体"/>
          <w:sz w:val="21"/>
          <w:szCs w:val="21"/>
          <w:lang w:val="en-US"/>
        </w:rPr>
        <w:t xml:space="preserve"> </w:t>
      </w:r>
      <w:r>
        <w:rPr>
          <w:rFonts w:hint="eastAsia" w:ascii="宋体" w:hAnsi="宋体" w:eastAsia="宋体" w:cs="宋体"/>
          <w:sz w:val="21"/>
          <w:szCs w:val="21"/>
        </w:rPr>
        <w:t>站台门</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_Toc16194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5"/>
        <w:keepNext w:val="0"/>
        <w:keepLines w:val="0"/>
        <w:pageBreakBefore w:val="0"/>
        <w:widowControl w:val="0"/>
        <w:tabs>
          <w:tab w:val="right" w:leader="dot" w:pos="9354"/>
          <w:tab w:val="clear" w:pos="9344"/>
        </w:tabs>
        <w:kinsoku/>
        <w:wordWrap/>
        <w:overflowPunct/>
        <w:topLinePunct w:val="0"/>
        <w:autoSpaceDE/>
        <w:autoSpaceDN/>
        <w:bidi w:val="0"/>
        <w:adjustRightInd w:val="0"/>
        <w:snapToGrid/>
        <w:spacing w:line="240" w:lineRule="auto"/>
        <w:ind w:left="210"/>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_Toc28772 </w:instrText>
      </w:r>
      <w:r>
        <w:rPr>
          <w:rFonts w:hint="eastAsia" w:ascii="宋体" w:hAnsi="宋体" w:eastAsia="宋体" w:cs="宋体"/>
          <w:sz w:val="21"/>
          <w:szCs w:val="21"/>
        </w:rPr>
        <w:fldChar w:fldCharType="separate"/>
      </w:r>
      <w:r>
        <w:rPr>
          <w:rFonts w:hint="eastAsia" w:ascii="宋体" w:hAnsi="宋体" w:eastAsia="宋体" w:cs="宋体"/>
          <w:sz w:val="21"/>
          <w:szCs w:val="21"/>
        </w:rPr>
        <w:t xml:space="preserve">9.14 </w:t>
      </w:r>
      <w:r>
        <w:rPr>
          <w:rFonts w:hint="default" w:hAnsi="宋体" w:cs="宋体"/>
          <w:sz w:val="21"/>
          <w:szCs w:val="21"/>
          <w:lang w:val="en-US"/>
        </w:rPr>
        <w:t xml:space="preserve"> </w:t>
      </w:r>
      <w:r>
        <w:rPr>
          <w:rFonts w:hint="eastAsia" w:ascii="宋体" w:hAnsi="宋体" w:eastAsia="宋体" w:cs="宋体"/>
          <w:sz w:val="21"/>
          <w:szCs w:val="21"/>
        </w:rPr>
        <w:t>道岔</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_Toc28772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_Toc32089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10 </w:t>
      </w:r>
      <w:r>
        <w:rPr>
          <w:rFonts w:hint="default" w:hAnsi="宋体" w:cs="宋体"/>
          <w:i w:val="0"/>
          <w:sz w:val="21"/>
          <w:szCs w:val="21"/>
          <w:lang w:val="en-US" w:eastAsia="zh-CN"/>
        </w:rPr>
        <w:t xml:space="preserve"> </w:t>
      </w:r>
      <w:r>
        <w:rPr>
          <w:rFonts w:hint="eastAsia" w:ascii="宋体" w:hAnsi="宋体" w:eastAsia="宋体" w:cs="宋体"/>
          <w:sz w:val="21"/>
          <w:szCs w:val="21"/>
          <w:lang w:val="en-US" w:eastAsia="zh-CN"/>
        </w:rPr>
        <w:t>运营人员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_Toc32089 \h </w:instrText>
      </w:r>
      <w:r>
        <w:rPr>
          <w:rFonts w:hint="eastAsia" w:ascii="宋体" w:hAnsi="宋体" w:eastAsia="宋体" w:cs="宋体"/>
          <w:sz w:val="21"/>
          <w:szCs w:val="21"/>
        </w:rPr>
        <w:fldChar w:fldCharType="separate"/>
      </w:r>
      <w:r>
        <w:rPr>
          <w:rFonts w:hint="eastAsia" w:ascii="宋体" w:hAnsi="宋体" w:eastAsia="宋体" w:cs="宋体"/>
          <w:sz w:val="21"/>
          <w:szCs w:val="21"/>
        </w:rPr>
        <w:t>12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_Toc32379 </w:instrText>
      </w:r>
      <w:r>
        <w:rPr>
          <w:rFonts w:hint="eastAsia" w:ascii="宋体" w:hAnsi="宋体" w:eastAsia="宋体" w:cs="宋体"/>
          <w:sz w:val="21"/>
          <w:szCs w:val="21"/>
        </w:rPr>
        <w:fldChar w:fldCharType="separate"/>
      </w:r>
      <w:r>
        <w:rPr>
          <w:rFonts w:hint="eastAsia" w:ascii="宋体" w:hAnsi="宋体" w:eastAsia="宋体" w:cs="宋体"/>
          <w:i w:val="0"/>
          <w:sz w:val="21"/>
          <w:szCs w:val="21"/>
          <w:lang w:val="en-US" w:eastAsia="zh-CN"/>
        </w:rPr>
        <w:t xml:space="preserve">11 </w:t>
      </w:r>
      <w:r>
        <w:rPr>
          <w:rFonts w:hint="default" w:hAnsi="宋体" w:cs="宋体"/>
          <w:i w:val="0"/>
          <w:sz w:val="21"/>
          <w:szCs w:val="21"/>
          <w:lang w:val="en-US" w:eastAsia="zh-CN"/>
        </w:rPr>
        <w:t xml:space="preserve"> </w:t>
      </w:r>
      <w:r>
        <w:rPr>
          <w:rFonts w:hint="eastAsia" w:ascii="宋体" w:hAnsi="宋体" w:eastAsia="宋体" w:cs="宋体"/>
          <w:sz w:val="21"/>
          <w:szCs w:val="21"/>
          <w:lang w:val="en-US" w:eastAsia="zh-CN"/>
        </w:rPr>
        <w:t>应急管理</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_Toc32379 \h </w:instrText>
      </w:r>
      <w:r>
        <w:rPr>
          <w:rFonts w:hint="eastAsia" w:ascii="宋体" w:hAnsi="宋体" w:eastAsia="宋体" w:cs="宋体"/>
          <w:sz w:val="21"/>
          <w:szCs w:val="21"/>
        </w:rPr>
        <w:fldChar w:fldCharType="separate"/>
      </w:r>
      <w:r>
        <w:rPr>
          <w:rFonts w:hint="eastAsia" w:ascii="宋体" w:hAnsi="宋体" w:eastAsia="宋体" w:cs="宋体"/>
          <w:sz w:val="21"/>
          <w:szCs w:val="21"/>
        </w:rPr>
        <w:t>13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_Toc2582 </w:instrText>
      </w:r>
      <w:r>
        <w:rPr>
          <w:rFonts w:hint="eastAsia" w:ascii="宋体" w:hAnsi="宋体" w:eastAsia="宋体" w:cs="宋体"/>
          <w:sz w:val="21"/>
          <w:szCs w:val="21"/>
        </w:rPr>
        <w:fldChar w:fldCharType="separate"/>
      </w:r>
      <w:r>
        <w:rPr>
          <w:rFonts w:hint="eastAsia" w:ascii="宋体" w:hAnsi="宋体" w:eastAsia="宋体" w:cs="宋体"/>
          <w:sz w:val="21"/>
          <w:szCs w:val="21"/>
          <w:lang w:val="en-US" w:eastAsia="zh-CN"/>
        </w:rPr>
        <w:t>附录A</w:t>
      </w:r>
      <w:r>
        <w:rPr>
          <w:rFonts w:hint="eastAsia" w:ascii="宋体" w:hAnsi="宋体" w:eastAsia="宋体" w:cs="宋体"/>
          <w:sz w:val="21"/>
          <w:szCs w:val="21"/>
        </w:rPr>
        <w:t>（规范性）</w:t>
      </w:r>
      <w:r>
        <w:rPr>
          <w:rFonts w:hint="default" w:hAnsi="宋体" w:cs="宋体"/>
          <w:sz w:val="21"/>
          <w:szCs w:val="21"/>
          <w:lang w:val="en-US"/>
        </w:rPr>
        <w:t xml:space="preserve"> </w:t>
      </w:r>
      <w:r>
        <w:rPr>
          <w:rFonts w:hint="eastAsia" w:ascii="宋体" w:hAnsi="宋体" w:eastAsia="宋体" w:cs="宋体"/>
          <w:sz w:val="21"/>
          <w:szCs w:val="21"/>
        </w:rPr>
        <w:t xml:space="preserve"> 运营指标计算方法</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_Toc2582 \h </w:instrText>
      </w:r>
      <w:r>
        <w:rPr>
          <w:rFonts w:hint="eastAsia" w:ascii="宋体" w:hAnsi="宋体" w:eastAsia="宋体" w:cs="宋体"/>
          <w:sz w:val="21"/>
          <w:szCs w:val="21"/>
        </w:rPr>
        <w:fldChar w:fldCharType="separate"/>
      </w:r>
      <w:r>
        <w:rPr>
          <w:rFonts w:hint="eastAsia" w:ascii="宋体" w:hAnsi="宋体" w:eastAsia="宋体" w:cs="宋体"/>
          <w:sz w:val="21"/>
          <w:szCs w:val="21"/>
        </w:rPr>
        <w:t>15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20"/>
        <w:keepNext w:val="0"/>
        <w:keepLines w:val="0"/>
        <w:pageBreakBefore w:val="0"/>
        <w:widowControl w:val="0"/>
        <w:tabs>
          <w:tab w:val="right" w:leader="dot" w:pos="9354"/>
        </w:tabs>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_Toc30111 </w:instrText>
      </w:r>
      <w:r>
        <w:rPr>
          <w:rFonts w:hint="eastAsia" w:ascii="宋体" w:hAnsi="宋体" w:eastAsia="宋体" w:cs="宋体"/>
          <w:sz w:val="21"/>
          <w:szCs w:val="21"/>
        </w:rPr>
        <w:fldChar w:fldCharType="separate"/>
      </w:r>
      <w:r>
        <w:rPr>
          <w:rFonts w:hint="eastAsia" w:ascii="宋体" w:hAnsi="宋体" w:eastAsia="宋体" w:cs="宋体"/>
          <w:sz w:val="21"/>
          <w:szCs w:val="21"/>
          <w:lang w:val="en-US" w:eastAsia="zh-CN"/>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_Toc30111 \h </w:instrText>
      </w:r>
      <w:r>
        <w:rPr>
          <w:rFonts w:hint="eastAsia" w:ascii="宋体" w:hAnsi="宋体" w:eastAsia="宋体" w:cs="宋体"/>
          <w:sz w:val="21"/>
          <w:szCs w:val="21"/>
        </w:rPr>
        <w:fldChar w:fldCharType="separate"/>
      </w:r>
      <w:r>
        <w:rPr>
          <w:rFonts w:hint="eastAsia"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pPr>
      <w:r>
        <w:rPr>
          <w:rFonts w:hint="eastAsia" w:ascii="宋体" w:hAnsi="宋体" w:eastAsia="宋体" w:cs="宋体"/>
          <w:sz w:val="21"/>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before="79" w:beforeLines="25" w:after="79" w:afterLines="25" w:line="240" w:lineRule="auto"/>
        <w:textAlignment w:val="auto"/>
        <w:rPr>
          <w:rFonts w:hint="eastAsia" w:ascii="宋体" w:hAnsi="宋体" w:eastAsia="宋体" w:cs="宋体"/>
          <w:sz w:val="21"/>
          <w:szCs w:val="21"/>
        </w:rPr>
        <w:sectPr>
          <w:headerReference r:id="rId9" w:type="default"/>
          <w:footerReference r:id="rId11" w:type="default"/>
          <w:headerReference r:id="rId10" w:type="even"/>
          <w:pgSz w:w="11906" w:h="16838"/>
          <w:pgMar w:top="2410" w:right="1134" w:bottom="1134" w:left="1134" w:header="1418" w:footer="1134" w:gutter="284"/>
          <w:pgNumType w:fmt="upperRoman" w:start="1"/>
          <w:cols w:space="425" w:num="1"/>
          <w:formProt w:val="0"/>
          <w:docGrid w:linePitch="312" w:charSpace="0"/>
        </w:sectPr>
      </w:pPr>
    </w:p>
    <w:bookmarkEnd w:id="13"/>
    <w:p>
      <w:pPr>
        <w:pStyle w:val="91"/>
        <w:spacing w:after="360"/>
      </w:pPr>
      <w:bookmarkStart w:id="15" w:name="_Toc32121"/>
      <w:bookmarkStart w:id="16" w:name="BookMark2"/>
      <w:r>
        <w:rPr>
          <w:spacing w:val="320"/>
        </w:rPr>
        <w:t>前</w:t>
      </w:r>
      <w:r>
        <w:t>言</w:t>
      </w:r>
      <w:bookmarkEnd w:id="14"/>
      <w:bookmarkEnd w:id="15"/>
    </w:p>
    <w:p>
      <w:pPr>
        <w:pStyle w:val="58"/>
        <w:ind w:firstLine="420"/>
      </w:pPr>
      <w:r>
        <w:rPr>
          <w:rFonts w:hint="eastAsia"/>
        </w:rPr>
        <w:t>本文件按照GB/T 1.1—2020《标准化工作导则  第1部分：标准化文件的结构和起草规则》的规定起草。</w:t>
      </w:r>
    </w:p>
    <w:p>
      <w:pPr>
        <w:pStyle w:val="58"/>
        <w:ind w:firstLine="420"/>
      </w:pPr>
      <w:r>
        <w:rPr>
          <w:rFonts w:hint="eastAsia"/>
        </w:rPr>
        <w:t>请注意本文件的某些内容可能涉及专利。本文件的发布机构不承担识别这些专利的责任。</w:t>
      </w:r>
    </w:p>
    <w:p>
      <w:pPr>
        <w:pStyle w:val="58"/>
        <w:ind w:firstLine="420"/>
      </w:pPr>
      <w:r>
        <w:rPr>
          <w:rFonts w:hint="eastAsia"/>
        </w:rPr>
        <w:t>本文件由深圳市城市</w:t>
      </w:r>
      <w:r>
        <w:t>轨道交通协会</w:t>
      </w:r>
      <w:r>
        <w:rPr>
          <w:rFonts w:hint="eastAsia"/>
        </w:rPr>
        <w:t>提出。</w:t>
      </w:r>
    </w:p>
    <w:p>
      <w:pPr>
        <w:pStyle w:val="58"/>
        <w:ind w:firstLine="420"/>
      </w:pPr>
      <w:r>
        <w:rPr>
          <w:rFonts w:hint="eastAsia"/>
        </w:rPr>
        <w:t>本文件由深圳市城市</w:t>
      </w:r>
      <w:r>
        <w:t>轨道交通协会</w:t>
      </w:r>
      <w:r>
        <w:rPr>
          <w:rFonts w:hint="eastAsia"/>
        </w:rPr>
        <w:t>归口。</w:t>
      </w:r>
    </w:p>
    <w:p>
      <w:pPr>
        <w:pStyle w:val="58"/>
        <w:ind w:firstLine="420"/>
        <w:rPr>
          <w:rFonts w:hint="default" w:ascii="宋体" w:eastAsia="宋体"/>
          <w:lang w:val="en-US" w:eastAsia="zh-CN"/>
        </w:rPr>
      </w:pPr>
      <w:r>
        <w:rPr>
          <w:rFonts w:hint="eastAsia"/>
        </w:rPr>
        <w:t>本文件起草单位：</w:t>
      </w:r>
      <w:r>
        <w:rPr>
          <w:rFonts w:hint="eastAsia"/>
          <w:lang w:val="en-US" w:eastAsia="zh-CN"/>
        </w:rPr>
        <w:t>比亚迪汽车工业有限公司</w:t>
      </w:r>
      <w:r>
        <w:rPr>
          <w:rFonts w:hint="eastAsia" w:ascii="宋体" w:eastAsia="宋体"/>
          <w:lang w:val="en-US" w:eastAsia="zh-CN"/>
        </w:rPr>
        <w:t>、广州地铁设计研究院股份有限公司、深圳市市政设计研究院有限公司、北京城建设计发展集团股份有限公司、深圳市东部城市轨道交通投资建设有限公司、深圳市龙岗区新轨道交通管理有限公司、深圳市龙华建设发展有限公司、湖南湘江新区投资集团有限公司</w:t>
      </w:r>
      <w:r>
        <w:rPr>
          <w:rFonts w:hint="eastAsia"/>
          <w:lang w:val="en-US" w:eastAsia="zh-CN"/>
        </w:rPr>
        <w:t>、</w:t>
      </w:r>
      <w:r>
        <w:rPr>
          <w:rFonts w:hint="eastAsia" w:ascii="宋体" w:eastAsia="宋体"/>
          <w:lang w:val="en-US" w:eastAsia="zh-CN"/>
        </w:rPr>
        <w:t>湖南省工程建设监理有限公司</w:t>
      </w:r>
      <w:r>
        <w:rPr>
          <w:rFonts w:hint="eastAsia"/>
          <w:lang w:val="en-US" w:eastAsia="zh-CN"/>
        </w:rPr>
        <w:t>、</w:t>
      </w:r>
      <w:r>
        <w:rPr>
          <w:rFonts w:hint="eastAsia" w:ascii="宋体" w:eastAsia="宋体"/>
          <w:lang w:val="en-US" w:eastAsia="zh-CN"/>
        </w:rPr>
        <w:t>中咨工程管理咨询有限公司</w:t>
      </w:r>
      <w:r>
        <w:rPr>
          <w:rFonts w:hint="eastAsia"/>
          <w:lang w:val="en-US" w:eastAsia="zh-CN"/>
        </w:rPr>
        <w:t>、</w:t>
      </w:r>
      <w:r>
        <w:rPr>
          <w:rFonts w:hint="eastAsia" w:ascii="宋体" w:eastAsia="宋体"/>
          <w:lang w:val="en-US" w:eastAsia="zh-CN"/>
        </w:rPr>
        <w:t>西安高新区市政配套建设有限公司</w:t>
      </w:r>
      <w:r>
        <w:rPr>
          <w:rFonts w:hint="eastAsia"/>
          <w:lang w:val="en-US" w:eastAsia="zh-CN"/>
        </w:rPr>
        <w:t>、</w:t>
      </w:r>
      <w:r>
        <w:rPr>
          <w:rFonts w:hint="eastAsia" w:ascii="宋体" w:eastAsia="宋体"/>
          <w:lang w:val="en-US" w:eastAsia="zh-CN"/>
        </w:rPr>
        <w:t>南宁轨道交通集团有限责任公司</w:t>
      </w:r>
      <w:r>
        <w:rPr>
          <w:rFonts w:hint="eastAsia"/>
          <w:lang w:val="en-US" w:eastAsia="zh-CN"/>
        </w:rPr>
        <w:t>、</w:t>
      </w:r>
      <w:r>
        <w:rPr>
          <w:rFonts w:hint="eastAsia" w:ascii="宋体" w:eastAsia="宋体"/>
          <w:lang w:val="en-US" w:eastAsia="zh-CN"/>
        </w:rPr>
        <w:t>深圳比亚迪轨道交通运营有限公司、比亚迪建设工程有限公司、比亚迪勘察设计有限公司、比亚迪机电设备有限公司、比亚迪通信信号有限公司、重庆云巴轨道交通运营管理有限公司。</w:t>
      </w:r>
    </w:p>
    <w:p>
      <w:pPr>
        <w:pStyle w:val="58"/>
        <w:ind w:firstLine="420"/>
        <w:rPr>
          <w:rFonts w:hint="eastAsia" w:eastAsia="宋体"/>
          <w:lang w:val="en-US" w:eastAsia="zh-CN"/>
        </w:rPr>
      </w:pPr>
      <w:r>
        <w:rPr>
          <w:rFonts w:hint="eastAsia"/>
        </w:rPr>
        <w:t>本文件主要起草人：刘世雄、林鸿全、康华玲、郭淑萍、马忠义、韩君怡、滕秀霜、余海涛、古宇标、刘国政、林跃明、何燕娜、谢新华、李科、何飞、刘杨、刘永波、兰塔、王俊凌</w:t>
      </w:r>
      <w:r>
        <w:rPr>
          <w:rFonts w:hint="eastAsia"/>
          <w:lang w:eastAsia="zh-CN"/>
        </w:rPr>
        <w:t>、陈小林、刘秋生、丁强、赵伟、赵阳、李文钦、梁峰、张亚光、李保林、廖文彬、黄志平、李国栋、黄伟林、王松权、方东明、刘晓迎、易洪、田继强、马龙飞、何倬、郭按杨、李文君、邵辉、王亚鹏、罗甍、王炳华、韩嘉、张世荣、冯光福、莫志刚、何旭升、李慧、晏艳珍、宿李、李斯新、梁伦富、杨东周、温强、王高锋、史秀荣、蒋坤、周子贤、林建明、卢维军、郭瑶、窦玉田、陈金海、饶江波、刘振华、刘伟华、江锋、吴智利、王志、谭新艳、李志辉、王勇、詹勇、梁利仲、蒋海川、周伟文、刘睿瑶。</w:t>
      </w:r>
    </w:p>
    <w:p>
      <w:pPr>
        <w:widowControl/>
        <w:adjustRightInd/>
        <w:spacing w:line="276" w:lineRule="auto"/>
        <w:ind w:firstLine="420" w:firstLineChars="200"/>
        <w:rPr>
          <w:rFonts w:hint="eastAsia" w:ascii="Times New Roman" w:hAnsi="Times New Roman"/>
          <w:szCs w:val="24"/>
        </w:rPr>
      </w:pPr>
      <w:r>
        <w:rPr>
          <w:rFonts w:hint="eastAsia" w:ascii="Times New Roman" w:hAnsi="Times New Roman"/>
          <w:szCs w:val="24"/>
        </w:rPr>
        <w:t>本文件主要审查人员：</w:t>
      </w:r>
    </w:p>
    <w:p>
      <w:pPr>
        <w:pStyle w:val="58"/>
        <w:ind w:firstLine="420"/>
      </w:pPr>
    </w:p>
    <w:p>
      <w:pPr>
        <w:pStyle w:val="58"/>
        <w:ind w:firstLine="420"/>
        <w:sectPr>
          <w:pgSz w:w="11906" w:h="16838"/>
          <w:pgMar w:top="2410" w:right="1134" w:bottom="1134" w:left="1134" w:header="1418" w:footer="1134" w:gutter="284"/>
          <w:pgNumType w:fmt="upperRoman"/>
          <w:cols w:space="425" w:num="1"/>
          <w:formProt w:val="0"/>
          <w:docGrid w:linePitch="312" w:charSpace="0"/>
        </w:sectPr>
      </w:pPr>
    </w:p>
    <w:bookmarkEnd w:id="16"/>
    <w:p>
      <w:pPr>
        <w:pStyle w:val="91"/>
        <w:spacing w:after="360"/>
      </w:pPr>
      <w:bookmarkStart w:id="17" w:name="_Toc82621523"/>
      <w:bookmarkStart w:id="18" w:name="_Toc2258"/>
      <w:bookmarkStart w:id="19" w:name="BookMark3"/>
      <w:r>
        <w:rPr>
          <w:spacing w:val="320"/>
        </w:rPr>
        <w:t>引</w:t>
      </w:r>
      <w:r>
        <w:t>言</w:t>
      </w:r>
      <w:bookmarkEnd w:id="17"/>
      <w:bookmarkEnd w:id="18"/>
    </w:p>
    <w:p>
      <w:pPr>
        <w:pStyle w:val="58"/>
        <w:ind w:firstLine="420"/>
        <w:rPr>
          <w:rFonts w:hint="eastAsia"/>
        </w:rPr>
      </w:pPr>
      <w:r>
        <w:rPr>
          <w:rFonts w:hint="eastAsia"/>
        </w:rPr>
        <w:t>导轨式胶轮系统是低运量城市轨道交通系统，有别于地铁、轻轨和有轨电车等其他制式，正式运营前的安全评估不能完全套用现有的规范，因此制定本文件。</w:t>
      </w:r>
    </w:p>
    <w:p>
      <w:pPr>
        <w:pStyle w:val="58"/>
        <w:ind w:firstLine="420"/>
        <w:rPr>
          <w:rFonts w:hint="eastAsia"/>
        </w:rPr>
      </w:pPr>
      <w:r>
        <w:rPr>
          <w:rFonts w:hint="eastAsia"/>
        </w:rPr>
        <w:t>本文件遵循交通运输部颁布的《城市轨道交通正式运营前和运营期间安全评估管理暂行办法》（交运规〔2019〕16号）对正式运营前安全评估的相关要求，针对导轨式胶轮系统特点编制。</w:t>
      </w:r>
    </w:p>
    <w:p>
      <w:pPr>
        <w:pStyle w:val="58"/>
        <w:ind w:firstLine="420"/>
        <w:rPr>
          <w:rFonts w:hint="eastAsia"/>
        </w:rPr>
      </w:pPr>
      <w:r>
        <w:rPr>
          <w:rFonts w:hint="eastAsia"/>
        </w:rPr>
        <w:t>本文件可作为城市轨道交通运营主管部门对导轨式胶轮系统项目进行开通初期运营后、正式运营前安全评估的规范依据。</w:t>
      </w:r>
    </w:p>
    <w:p>
      <w:pPr>
        <w:pStyle w:val="58"/>
        <w:ind w:firstLine="420"/>
      </w:pPr>
    </w:p>
    <w:p>
      <w:pPr>
        <w:pStyle w:val="58"/>
        <w:ind w:firstLine="420"/>
        <w:sectPr>
          <w:pgSz w:w="11906" w:h="16838"/>
          <w:pgMar w:top="2410" w:right="1134" w:bottom="1134" w:left="1134" w:header="1418" w:footer="1134" w:gutter="284"/>
          <w:pgNumType w:fmt="upperRoman"/>
          <w:cols w:space="425" w:num="1"/>
          <w:formProt w:val="0"/>
          <w:docGrid w:linePitch="312" w:charSpace="0"/>
        </w:sectPr>
      </w:pPr>
    </w:p>
    <w:bookmarkEnd w:id="19"/>
    <w:p>
      <w:pPr>
        <w:spacing w:line="20" w:lineRule="exact"/>
        <w:jc w:val="center"/>
        <w:rPr>
          <w:rFonts w:ascii="黑体" w:hAnsi="黑体" w:eastAsia="黑体"/>
          <w:sz w:val="32"/>
          <w:szCs w:val="32"/>
        </w:rPr>
      </w:pPr>
      <w:bookmarkStart w:id="20" w:name="BookMark4"/>
    </w:p>
    <w:p>
      <w:pPr>
        <w:spacing w:line="20" w:lineRule="exact"/>
        <w:jc w:val="center"/>
        <w:rPr>
          <w:rFonts w:ascii="黑体" w:hAnsi="黑体" w:eastAsia="黑体"/>
          <w:sz w:val="32"/>
          <w:szCs w:val="32"/>
        </w:rPr>
      </w:pPr>
    </w:p>
    <w:sdt>
      <w:sdtPr>
        <w:tag w:val="NEW_STAND_NAME"/>
        <w:id w:val="595910757"/>
        <w:lock w:val="sdtLocked"/>
        <w:placeholder>
          <w:docPart w:val="B05AE330FA954AFFB0E59532AC80D7B2"/>
        </w:placeholder>
      </w:sdtPr>
      <w:sdtContent>
        <w:p>
          <w:pPr>
            <w:pStyle w:val="179"/>
            <w:spacing w:before="2" w:beforeLines="1" w:after="2" w:afterLines="1"/>
            <w:outlineLvl w:val="0"/>
          </w:pPr>
          <w:bookmarkStart w:id="21" w:name="NEW_STAND_NAME"/>
          <w:r>
            <w:rPr>
              <w:rFonts w:hint="eastAsia"/>
            </w:rPr>
            <w:t>导轨式胶轮系统</w:t>
          </w:r>
          <w:r>
            <w:rPr>
              <w:rFonts w:hint="eastAsia"/>
              <w:lang w:val="en-US" w:eastAsia="zh-CN"/>
            </w:rPr>
            <w:t>正式运营安全评估规范</w:t>
          </w:r>
        </w:p>
      </w:sdtContent>
    </w:sdt>
    <w:bookmarkEnd w:id="21"/>
    <w:p>
      <w:pPr>
        <w:pStyle w:val="106"/>
        <w:spacing w:before="240" w:after="240"/>
      </w:pPr>
      <w:bookmarkStart w:id="22" w:name="_Toc26648465"/>
      <w:bookmarkStart w:id="23" w:name="_Toc26718930"/>
      <w:bookmarkStart w:id="24" w:name="_Toc26986771"/>
      <w:bookmarkStart w:id="25" w:name="_Toc82621524"/>
      <w:bookmarkStart w:id="26" w:name="_Toc17233325"/>
      <w:bookmarkStart w:id="27" w:name="_Toc17233333"/>
      <w:bookmarkStart w:id="28" w:name="_Toc26986530"/>
      <w:bookmarkStart w:id="29" w:name="_Toc17436"/>
      <w:bookmarkStart w:id="30" w:name="_Toc24884211"/>
      <w:bookmarkStart w:id="31" w:name="_Toc24884218"/>
      <w:r>
        <w:rPr>
          <w:rFonts w:hint="eastAsia"/>
        </w:rPr>
        <w:t>范围</w:t>
      </w:r>
      <w:bookmarkEnd w:id="22"/>
      <w:bookmarkEnd w:id="23"/>
      <w:bookmarkEnd w:id="24"/>
      <w:bookmarkEnd w:id="25"/>
      <w:bookmarkEnd w:id="26"/>
      <w:bookmarkEnd w:id="27"/>
      <w:bookmarkEnd w:id="28"/>
      <w:bookmarkEnd w:id="29"/>
      <w:bookmarkEnd w:id="30"/>
      <w:bookmarkEnd w:id="31"/>
    </w:p>
    <w:p>
      <w:pPr>
        <w:pStyle w:val="233"/>
        <w:rPr>
          <w:highlight w:val="none"/>
        </w:rPr>
      </w:pPr>
      <w:bookmarkStart w:id="32" w:name="_Toc24884212"/>
      <w:bookmarkStart w:id="33" w:name="_Toc17233334"/>
      <w:bookmarkStart w:id="34" w:name="_Toc17233326"/>
      <w:bookmarkStart w:id="35" w:name="_Toc24884219"/>
      <w:bookmarkStart w:id="36" w:name="_Toc26648466"/>
      <w:r>
        <w:rPr>
          <w:rFonts w:hint="eastAsia" w:ascii="Times New Roman"/>
          <w:highlight w:val="none"/>
        </w:rPr>
        <w:t>本文件</w:t>
      </w:r>
      <w:r>
        <w:rPr>
          <w:rFonts w:hint="eastAsia" w:ascii="Times New Roman"/>
          <w:highlight w:val="none"/>
          <w:lang w:val="en-US" w:eastAsia="zh-CN"/>
        </w:rPr>
        <w:t>确立</w:t>
      </w:r>
      <w:r>
        <w:rPr>
          <w:rFonts w:hint="eastAsia" w:ascii="Times New Roman"/>
          <w:highlight w:val="none"/>
        </w:rPr>
        <w:t>了导轨式胶轮系统线路正式运营安全评估的基本规定</w:t>
      </w:r>
      <w:r>
        <w:rPr>
          <w:rFonts w:hint="eastAsia" w:ascii="Times New Roman"/>
          <w:highlight w:val="none"/>
          <w:lang w:eastAsia="zh-CN"/>
        </w:rPr>
        <w:t>，</w:t>
      </w:r>
      <w:r>
        <w:rPr>
          <w:rFonts w:hint="eastAsia" w:ascii="Times New Roman"/>
          <w:highlight w:val="none"/>
          <w:lang w:val="en-US" w:eastAsia="zh-CN"/>
        </w:rPr>
        <w:t>并规定了</w:t>
      </w:r>
      <w:r>
        <w:rPr>
          <w:rFonts w:hint="eastAsia" w:ascii="Times New Roman"/>
          <w:highlight w:val="none"/>
          <w:lang w:eastAsia="zh-CN"/>
        </w:rPr>
        <w:t>安全管理</w:t>
      </w:r>
      <w:r>
        <w:rPr>
          <w:rFonts w:hint="eastAsia" w:ascii="Times New Roman"/>
          <w:highlight w:val="none"/>
        </w:rPr>
        <w:t>、行车组织、客运组织、设施设备运行维护、运营人员、应急管理等</w:t>
      </w:r>
      <w:r>
        <w:rPr>
          <w:rFonts w:hint="eastAsia" w:ascii="Times New Roman"/>
          <w:highlight w:val="none"/>
          <w:lang w:eastAsia="zh-CN"/>
        </w:rPr>
        <w:t>方面的</w:t>
      </w:r>
      <w:r>
        <w:rPr>
          <w:rFonts w:hint="eastAsia" w:ascii="Times New Roman"/>
          <w:highlight w:val="none"/>
        </w:rPr>
        <w:t>要求。</w:t>
      </w:r>
    </w:p>
    <w:p>
      <w:pPr>
        <w:pStyle w:val="58"/>
        <w:ind w:firstLine="420"/>
      </w:pPr>
      <w:r>
        <w:rPr>
          <w:rFonts w:hint="eastAsia" w:ascii="Times New Roman"/>
          <w:highlight w:val="none"/>
        </w:rPr>
        <w:t>本文件适用于导轨式胶轮系统线路正式运营前</w:t>
      </w:r>
      <w:r>
        <w:rPr>
          <w:rFonts w:hint="eastAsia" w:ascii="Times New Roman"/>
          <w:highlight w:val="none"/>
          <w:lang w:eastAsia="zh-CN"/>
        </w:rPr>
        <w:t>的</w:t>
      </w:r>
      <w:r>
        <w:rPr>
          <w:rFonts w:hint="eastAsia" w:ascii="Times New Roman"/>
          <w:highlight w:val="none"/>
        </w:rPr>
        <w:t>安全评估。</w:t>
      </w:r>
    </w:p>
    <w:p>
      <w:pPr>
        <w:pStyle w:val="106"/>
        <w:spacing w:before="240" w:after="240"/>
      </w:pPr>
      <w:bookmarkStart w:id="37" w:name="_Toc26718931"/>
      <w:bookmarkStart w:id="38" w:name="_Toc26986531"/>
      <w:bookmarkStart w:id="39" w:name="_Toc82621525"/>
      <w:bookmarkStart w:id="40" w:name="_Toc26986772"/>
      <w:bookmarkStart w:id="41" w:name="_Toc22383"/>
      <w:r>
        <w:rPr>
          <w:rFonts w:hint="eastAsia"/>
        </w:rPr>
        <w:t>规范性引用文件</w:t>
      </w:r>
      <w:bookmarkEnd w:id="32"/>
      <w:bookmarkEnd w:id="33"/>
      <w:bookmarkEnd w:id="34"/>
      <w:bookmarkEnd w:id="35"/>
      <w:bookmarkEnd w:id="36"/>
      <w:bookmarkEnd w:id="37"/>
      <w:bookmarkEnd w:id="38"/>
      <w:bookmarkEnd w:id="39"/>
      <w:bookmarkEnd w:id="40"/>
      <w:bookmarkEnd w:id="41"/>
    </w:p>
    <w:sdt>
      <w:sdtPr>
        <w:rPr>
          <w:rFonts w:hint="eastAsia"/>
        </w:rPr>
        <w:id w:val="715848253"/>
        <w:placeholder>
          <w:docPart w:val="EBDF80A13ED14C00B96A5DD97430634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8"/>
        <w:ind w:firstLine="420"/>
        <w:rPr>
          <w:rFonts w:hint="eastAsia" w:ascii="宋体" w:hAnsi="宋体" w:eastAsia="宋体" w:cs="宋体"/>
          <w:highlight w:val="none"/>
        </w:rPr>
      </w:pPr>
      <w:bookmarkStart w:id="42" w:name="_Toc82621526"/>
      <w:r>
        <w:rPr>
          <w:rFonts w:hint="eastAsia" w:ascii="宋体" w:hAnsi="宋体" w:eastAsia="宋体" w:cs="宋体"/>
          <w:highlight w:val="none"/>
        </w:rPr>
        <w:t>T/URTA 0003  导轨式胶轮系统全自动运行线路运营场景规范</w:t>
      </w:r>
    </w:p>
    <w:p>
      <w:pPr>
        <w:pStyle w:val="58"/>
        <w:ind w:firstLine="420"/>
        <w:rPr>
          <w:rFonts w:hint="eastAsia" w:ascii="宋体" w:hAnsi="宋体" w:eastAsia="宋体" w:cs="宋体"/>
          <w:highlight w:val="none"/>
        </w:rPr>
      </w:pPr>
      <w:r>
        <w:rPr>
          <w:rFonts w:hint="eastAsia" w:ascii="宋体" w:hAnsi="宋体" w:eastAsia="宋体" w:cs="宋体"/>
          <w:highlight w:val="none"/>
        </w:rPr>
        <w:t>T/URTA 0005  导轨式胶轮系统全自动运行线路初期运营安全评估基本条件</w:t>
      </w:r>
    </w:p>
    <w:p>
      <w:pPr>
        <w:pStyle w:val="106"/>
        <w:spacing w:before="240" w:after="240"/>
      </w:pPr>
      <w:bookmarkStart w:id="43" w:name="_Toc30295"/>
      <w:r>
        <w:rPr>
          <w:rFonts w:hint="eastAsia"/>
          <w:szCs w:val="21"/>
        </w:rPr>
        <w:t>术语和定义</w:t>
      </w:r>
      <w:bookmarkEnd w:id="42"/>
      <w:bookmarkEnd w:id="43"/>
    </w:p>
    <w:sdt>
      <w:sdtPr>
        <w:id w:val="-1909835108"/>
        <w:placeholder>
          <w:docPart w:val="FDEB2041E3744F8B8BA933A88BD1C02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44" w:name="_Toc26986532"/>
          <w:bookmarkEnd w:id="44"/>
          <w:r>
            <w:rPr>
              <w:rFonts w:hint="eastAsia"/>
            </w:rPr>
            <w:t>下列</w:t>
          </w:r>
          <w:r>
            <w:t>术语和定义</w:t>
          </w:r>
          <w:r>
            <w:rPr>
              <w:rFonts w:hint="eastAsia"/>
            </w:rPr>
            <w:t>适用于本文件</w:t>
          </w:r>
          <w:r>
            <w:t>。</w:t>
          </w:r>
        </w:p>
      </w:sdtContent>
    </w:sdt>
    <w:p>
      <w:pPr>
        <w:pStyle w:val="164"/>
      </w:pPr>
    </w:p>
    <w:p>
      <w:pPr>
        <w:pStyle w:val="58"/>
        <w:ind w:firstLine="420"/>
      </w:pPr>
      <w:r>
        <w:rPr>
          <w:rFonts w:hint="eastAsia" w:ascii="黑体" w:eastAsia="黑体"/>
        </w:rPr>
        <w:t>导轨式胶轮系统  beam-guiding rubber-tyred tram system</w:t>
      </w:r>
    </w:p>
    <w:p>
      <w:pPr>
        <w:pStyle w:val="58"/>
        <w:ind w:firstLine="420"/>
        <w:rPr>
          <w:rFonts w:hint="eastAsia" w:ascii="宋体" w:hAnsi="宋体" w:eastAsia="宋体" w:cs="宋体"/>
          <w:highlight w:val="none"/>
        </w:rPr>
      </w:pPr>
      <w:r>
        <w:rPr>
          <w:rFonts w:hint="eastAsia" w:ascii="宋体" w:hAnsi="宋体" w:eastAsia="宋体" w:cs="宋体"/>
          <w:highlight w:val="none"/>
        </w:rPr>
        <w:t>低运量城市公共交通的一种制式，车辆采用橡胶车轮走行于轨道梁上。车辆除走行轮外，在转向架的两侧尚有导向轮，内嵌在轨道梁的U型槽内侧运行。</w:t>
      </w:r>
    </w:p>
    <w:p>
      <w:pPr>
        <w:pStyle w:val="164"/>
        <w:ind w:firstLine="420"/>
        <w:rPr>
          <w:rFonts w:hint="default" w:ascii="宋体" w:hAnsi="Times New Roman" w:eastAsia="宋体" w:cs="Times New Roman"/>
          <w:highlight w:val="none"/>
        </w:rPr>
      </w:pPr>
    </w:p>
    <w:p>
      <w:pPr>
        <w:pStyle w:val="58"/>
        <w:ind w:firstLine="420"/>
        <w:rPr>
          <w:rFonts w:ascii="黑体" w:eastAsia="黑体"/>
        </w:rPr>
      </w:pPr>
      <w:r>
        <w:rPr>
          <w:rFonts w:hint="eastAsia" w:ascii="黑体" w:eastAsia="黑体"/>
        </w:rPr>
        <w:t>调度人员  controller</w:t>
      </w:r>
    </w:p>
    <w:p>
      <w:pPr>
        <w:pStyle w:val="58"/>
        <w:ind w:firstLine="420"/>
      </w:pPr>
      <w:r>
        <w:rPr>
          <w:rFonts w:hint="eastAsia" w:ascii="Times New Roman"/>
          <w:highlight w:val="none"/>
        </w:rPr>
        <w:t>具备调度作业资格，从事调度、列车及设备远程监控、远程乘客服务工作的人员。</w:t>
      </w:r>
    </w:p>
    <w:p>
      <w:pPr>
        <w:pStyle w:val="164"/>
      </w:pPr>
    </w:p>
    <w:p>
      <w:pPr>
        <w:pStyle w:val="58"/>
        <w:ind w:firstLine="420"/>
        <w:rPr>
          <w:rFonts w:ascii="黑体" w:eastAsia="黑体"/>
        </w:rPr>
      </w:pPr>
      <w:r>
        <w:rPr>
          <w:rFonts w:hint="eastAsia" w:ascii="黑体" w:eastAsia="黑体"/>
        </w:rPr>
        <w:t>司乘人员  driver and conductor</w:t>
      </w:r>
    </w:p>
    <w:p>
      <w:pPr>
        <w:pStyle w:val="58"/>
        <w:ind w:firstLine="420"/>
      </w:pPr>
      <w:r>
        <w:rPr>
          <w:rFonts w:hint="eastAsia"/>
        </w:rPr>
        <w:t>负责车站及列车客服组织、现场运行监控、应急处置等工作的人员，集成了传统乘务与站务的岗位职责。</w:t>
      </w:r>
    </w:p>
    <w:p>
      <w:pPr>
        <w:pStyle w:val="164"/>
      </w:pPr>
    </w:p>
    <w:p>
      <w:pPr>
        <w:pStyle w:val="58"/>
        <w:ind w:firstLine="420"/>
        <w:rPr>
          <w:rFonts w:ascii="黑体" w:eastAsia="黑体"/>
        </w:rPr>
      </w:pPr>
      <w:r>
        <w:rPr>
          <w:rFonts w:hint="eastAsia" w:ascii="黑体" w:eastAsia="黑体"/>
        </w:rPr>
        <w:t>轨道梁  track beam</w:t>
      </w:r>
    </w:p>
    <w:p>
      <w:pPr>
        <w:pStyle w:val="58"/>
        <w:ind w:firstLine="420"/>
      </w:pPr>
      <w:r>
        <w:rPr>
          <w:rFonts w:hint="eastAsia"/>
        </w:rPr>
        <w:t>承载导轨式胶轮车辆动载和静载，并实现走行和导向功能的钢筋混凝土结构或钢结构。</w:t>
      </w:r>
    </w:p>
    <w:p>
      <w:pPr>
        <w:pStyle w:val="164"/>
      </w:pPr>
    </w:p>
    <w:p>
      <w:pPr>
        <w:pStyle w:val="58"/>
        <w:ind w:firstLine="420"/>
      </w:pPr>
      <w:r>
        <w:rPr>
          <w:rFonts w:hint="eastAsia" w:ascii="黑体" w:eastAsia="黑体"/>
        </w:rPr>
        <w:t>综合车场  integrated depot</w:t>
      </w:r>
    </w:p>
    <w:p>
      <w:pPr>
        <w:pStyle w:val="58"/>
        <w:ind w:firstLine="420"/>
      </w:pPr>
      <w:r>
        <w:rPr>
          <w:rFonts w:hint="eastAsia"/>
        </w:rPr>
        <w:t>设有停车线、检修线、洗车线等设施，承担车辆的日常停放、充电、维护、检修和清洁作业，承担设备、机具及工程车的维护作业，并兼具行政、技术和物资管理的综合场所。</w:t>
      </w:r>
    </w:p>
    <w:p>
      <w:pPr>
        <w:pStyle w:val="164"/>
      </w:pPr>
    </w:p>
    <w:p>
      <w:pPr>
        <w:pStyle w:val="58"/>
        <w:ind w:firstLine="420"/>
        <w:rPr>
          <w:rFonts w:ascii="黑体" w:eastAsia="黑体"/>
        </w:rPr>
      </w:pPr>
      <w:r>
        <w:rPr>
          <w:rFonts w:hint="eastAsia" w:ascii="黑体" w:eastAsia="黑体"/>
        </w:rPr>
        <w:t>全自动运行区域  fully automatic operation area</w:t>
      </w:r>
    </w:p>
    <w:p>
      <w:pPr>
        <w:pStyle w:val="58"/>
        <w:ind w:firstLine="420"/>
      </w:pPr>
      <w:r>
        <w:rPr>
          <w:rFonts w:hint="eastAsia"/>
        </w:rPr>
        <w:t>具备列车自动进站停车、自动开关门、自动发车、自动折返、自动出入场、休眠、唤醒、自动调车和自动洗车作业等全自动运行功能的区域。一般包括正线、折返线、渡线、停车线、出入场线、洗车线。</w:t>
      </w:r>
    </w:p>
    <w:p>
      <w:pPr>
        <w:pStyle w:val="164"/>
      </w:pPr>
    </w:p>
    <w:p>
      <w:pPr>
        <w:pStyle w:val="58"/>
        <w:ind w:firstLine="420"/>
        <w:rPr>
          <w:rFonts w:ascii="黑体" w:eastAsia="黑体"/>
        </w:rPr>
      </w:pPr>
      <w:r>
        <w:rPr>
          <w:rFonts w:hint="eastAsia" w:ascii="黑体" w:eastAsia="黑体"/>
        </w:rPr>
        <w:t>非全自动运行区域  not fully automatic operation area</w:t>
      </w:r>
    </w:p>
    <w:p>
      <w:pPr>
        <w:pStyle w:val="58"/>
        <w:ind w:firstLine="420"/>
      </w:pPr>
      <w:r>
        <w:rPr>
          <w:rFonts w:hint="eastAsia"/>
        </w:rPr>
        <w:t>不具备全自动运行功能的区域，一般包括检修线。</w:t>
      </w:r>
    </w:p>
    <w:p>
      <w:pPr>
        <w:pStyle w:val="106"/>
        <w:spacing w:before="240" w:after="240"/>
      </w:pPr>
      <w:bookmarkStart w:id="45" w:name="_Toc21928"/>
      <w:bookmarkStart w:id="46" w:name="_Toc82621527"/>
      <w:r>
        <w:rPr>
          <w:rFonts w:hint="eastAsia"/>
        </w:rPr>
        <w:t>缩略语</w:t>
      </w:r>
      <w:bookmarkEnd w:id="45"/>
      <w:bookmarkEnd w:id="46"/>
    </w:p>
    <w:p>
      <w:pPr>
        <w:pStyle w:val="58"/>
        <w:ind w:firstLine="420"/>
      </w:pPr>
      <w:r>
        <w:rPr>
          <w:rFonts w:hint="eastAsia"/>
        </w:rPr>
        <w:t>下列缩略语适用于本文件。</w:t>
      </w:r>
    </w:p>
    <w:p>
      <w:pPr>
        <w:pStyle w:val="58"/>
        <w:ind w:firstLine="420"/>
        <w:rPr>
          <w:rFonts w:hint="eastAsia"/>
        </w:rPr>
      </w:pPr>
      <w:r>
        <w:rPr>
          <w:rFonts w:hint="eastAsia"/>
        </w:rPr>
        <w:t>AFC：Automatic Fare Collection，自动售检票系统</w:t>
      </w:r>
    </w:p>
    <w:p>
      <w:pPr>
        <w:pStyle w:val="58"/>
        <w:ind w:firstLine="420"/>
        <w:rPr>
          <w:rFonts w:hint="eastAsia"/>
        </w:rPr>
      </w:pPr>
      <w:r>
        <w:rPr>
          <w:rFonts w:hint="eastAsia"/>
        </w:rPr>
        <w:t>ATP：Automatic Train Protection，列车自动防护系统</w:t>
      </w:r>
    </w:p>
    <w:p>
      <w:pPr>
        <w:pStyle w:val="58"/>
        <w:ind w:firstLine="420"/>
        <w:rPr>
          <w:rFonts w:hint="eastAsia"/>
        </w:rPr>
      </w:pPr>
      <w:r>
        <w:rPr>
          <w:rFonts w:hint="eastAsia"/>
        </w:rPr>
        <w:t>SOC：State of Charge，电池荷电状态</w:t>
      </w:r>
    </w:p>
    <w:p>
      <w:pPr>
        <w:pStyle w:val="58"/>
        <w:ind w:firstLine="420"/>
      </w:pPr>
      <w:r>
        <w:rPr>
          <w:rFonts w:hint="eastAsia"/>
        </w:rPr>
        <w:t>UPS：Uninterrupted Power System，不间断电源系统</w:t>
      </w:r>
    </w:p>
    <w:p>
      <w:pPr>
        <w:pStyle w:val="106"/>
        <w:spacing w:before="240" w:after="240"/>
      </w:pPr>
      <w:bookmarkStart w:id="47" w:name="_Toc28552"/>
      <w:r>
        <w:rPr>
          <w:rFonts w:hint="eastAsia"/>
          <w:lang w:val="en-US" w:eastAsia="zh-CN"/>
        </w:rPr>
        <w:t>基本规定</w:t>
      </w:r>
      <w:bookmarkEnd w:id="47"/>
    </w:p>
    <w:p>
      <w:pPr>
        <w:pStyle w:val="107"/>
        <w:spacing w:before="120" w:after="120"/>
        <w:rPr>
          <w:rFonts w:hint="eastAsia" w:hAnsi="Times New Roman" w:cs="Times New Roman"/>
        </w:rPr>
      </w:pPr>
      <w:bookmarkStart w:id="48" w:name="_Toc22890"/>
      <w:bookmarkStart w:id="49" w:name="_Toc29763"/>
      <w:bookmarkStart w:id="50" w:name="_Toc13815"/>
      <w:bookmarkStart w:id="51" w:name="_Toc6006"/>
      <w:bookmarkStart w:id="52" w:name="_Toc30371"/>
      <w:r>
        <w:rPr>
          <w:rFonts w:hint="eastAsia" w:hAnsi="Times New Roman" w:cs="Times New Roman"/>
        </w:rPr>
        <w:t>评估对象</w:t>
      </w:r>
      <w:bookmarkEnd w:id="48"/>
      <w:bookmarkEnd w:id="49"/>
      <w:bookmarkEnd w:id="50"/>
      <w:bookmarkEnd w:id="51"/>
      <w:bookmarkEnd w:id="52"/>
    </w:p>
    <w:p>
      <w:pPr>
        <w:pStyle w:val="58"/>
        <w:ind w:firstLine="420"/>
        <w:rPr>
          <w:rFonts w:hint="eastAsia" w:hAnsi="Times New Roman" w:cs="Times New Roman"/>
        </w:rPr>
      </w:pPr>
      <w:r>
        <w:rPr>
          <w:rFonts w:hint="eastAsia" w:hAnsi="Times New Roman" w:cs="Times New Roman"/>
        </w:rPr>
        <w:t>评估对象为按有关规定获得批准从事导轨式胶轮系统线路运营的单位，以及开通运营的导轨式胶轮系统运营线路。</w:t>
      </w:r>
    </w:p>
    <w:p>
      <w:pPr>
        <w:pStyle w:val="107"/>
        <w:spacing w:before="120" w:after="120"/>
        <w:rPr>
          <w:rFonts w:hint="eastAsia" w:hAnsi="Times New Roman" w:cs="Times New Roman"/>
        </w:rPr>
      </w:pPr>
      <w:bookmarkStart w:id="53" w:name="_Toc12244"/>
      <w:bookmarkStart w:id="54" w:name="_Toc23963"/>
      <w:bookmarkStart w:id="55" w:name="_Toc14917"/>
      <w:bookmarkStart w:id="56" w:name="_Toc11918"/>
      <w:bookmarkStart w:id="57" w:name="_Toc31287"/>
      <w:r>
        <w:rPr>
          <w:rFonts w:hint="eastAsia" w:hAnsi="Times New Roman" w:cs="Times New Roman"/>
        </w:rPr>
        <w:t>评估条件</w:t>
      </w:r>
      <w:bookmarkEnd w:id="53"/>
      <w:bookmarkEnd w:id="54"/>
      <w:bookmarkEnd w:id="55"/>
      <w:bookmarkEnd w:id="56"/>
      <w:bookmarkEnd w:id="5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8" w:name="_Toc6493"/>
      <w:r>
        <w:rPr>
          <w:rFonts w:hint="eastAsia" w:ascii="宋体" w:hAnsi="宋体" w:eastAsia="宋体" w:cs="宋体"/>
        </w:rPr>
        <w:t>运营单位依法办理初期运营手续，初期运营至少满1年。</w:t>
      </w:r>
      <w:bookmarkEnd w:id="58"/>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59" w:name="_Toc15688"/>
      <w:r>
        <w:rPr>
          <w:rFonts w:hint="eastAsia" w:ascii="宋体" w:hAnsi="宋体" w:eastAsia="宋体" w:cs="宋体"/>
        </w:rPr>
        <w:t>初期运营前安全评估提出的需在初期运营期间完成的整改问题，已全部整改完成。初期运营期间，土建工程、设施设备、系统集成的运行状况良好，发现的问题或者安全隐患处理完毕。</w:t>
      </w:r>
      <w:bookmarkEnd w:id="59"/>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0" w:name="_Toc1699"/>
      <w:r>
        <w:rPr>
          <w:rFonts w:hint="eastAsia" w:ascii="宋体" w:hAnsi="宋体" w:eastAsia="宋体" w:cs="宋体"/>
        </w:rPr>
        <w:t>正式运营安全评估开展前</w:t>
      </w:r>
      <w:r>
        <w:rPr>
          <w:rFonts w:hint="eastAsia" w:ascii="宋体" w:hAnsi="宋体" w:eastAsia="宋体" w:cs="宋体"/>
          <w:lang w:eastAsia="zh-CN"/>
        </w:rPr>
        <w:t>的</w:t>
      </w:r>
      <w:r>
        <w:rPr>
          <w:rFonts w:hint="eastAsia" w:ascii="宋体" w:hAnsi="宋体" w:eastAsia="宋体" w:cs="宋体"/>
        </w:rPr>
        <w:t>1年内，未发生列车冲突、列车撞击、轨道梁结构坍塌、人员死亡、连续中断行车2 h（含）以上等运营险性事件。</w:t>
      </w:r>
      <w:bookmarkEnd w:id="6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1" w:name="_Toc18216"/>
      <w:r>
        <w:rPr>
          <w:rFonts w:hint="eastAsia" w:ascii="宋体" w:hAnsi="宋体" w:eastAsia="宋体" w:cs="宋体"/>
        </w:rPr>
        <w:t>全部甩项工程完工并通过验收，按规定开展安全评估并投入使用。受客观条件限制不能完成的，应办理完成设计变更手续。</w:t>
      </w:r>
      <w:bookmarkEnd w:id="61"/>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2" w:name="_Toc15369"/>
      <w:r>
        <w:rPr>
          <w:rFonts w:hint="eastAsia" w:ascii="宋体" w:hAnsi="宋体" w:eastAsia="宋体" w:cs="宋体"/>
        </w:rPr>
        <w:t>土建工程有关竣工验收资料、设备系统技术规格说明书、操作手册、维护手册、各类软件、调试报告等应全部移交运营单位。</w:t>
      </w:r>
      <w:bookmarkEnd w:id="62"/>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63" w:name="_Toc21895"/>
      <w:r>
        <w:rPr>
          <w:rFonts w:hint="eastAsia" w:ascii="宋体" w:hAnsi="宋体" w:eastAsia="宋体" w:cs="宋体"/>
        </w:rPr>
        <w:t>运营单位应编制完成初期运营报告，内容包括初期运营基本情况、行车组织、客运组织、设施设备运行维护、人员管理、应急管理等。</w:t>
      </w:r>
      <w:bookmarkEnd w:id="63"/>
    </w:p>
    <w:p>
      <w:pPr>
        <w:pStyle w:val="107"/>
        <w:spacing w:before="120" w:after="120"/>
        <w:rPr>
          <w:rFonts w:hint="eastAsia" w:hAnsi="Times New Roman" w:cs="Times New Roman"/>
        </w:rPr>
      </w:pPr>
      <w:bookmarkStart w:id="64" w:name="_Toc20909"/>
      <w:bookmarkStart w:id="65" w:name="_Toc3676"/>
      <w:bookmarkStart w:id="66" w:name="_Toc31946"/>
      <w:bookmarkStart w:id="67" w:name="_Toc28382"/>
      <w:bookmarkStart w:id="68" w:name="_Toc17699"/>
      <w:r>
        <w:rPr>
          <w:rFonts w:hint="eastAsia" w:hAnsi="Times New Roman" w:cs="Times New Roman"/>
        </w:rPr>
        <w:t>评估指标</w:t>
      </w:r>
      <w:bookmarkEnd w:id="64"/>
      <w:bookmarkEnd w:id="65"/>
      <w:bookmarkEnd w:id="66"/>
      <w:bookmarkEnd w:id="67"/>
      <w:bookmarkEnd w:id="68"/>
    </w:p>
    <w:p>
      <w:pPr>
        <w:pStyle w:val="67"/>
        <w:keepNext w:val="0"/>
        <w:keepLines w:val="0"/>
        <w:pageBreakBefore w:val="0"/>
        <w:widowControl w:val="0"/>
        <w:numPr>
          <w:ilvl w:val="-1"/>
          <w:numId w:val="0"/>
        </w:numPr>
        <w:kinsoku/>
        <w:wordWrap/>
        <w:overflowPunct/>
        <w:topLinePunct w:val="0"/>
        <w:autoSpaceDE/>
        <w:autoSpaceDN/>
        <w:bidi w:val="0"/>
        <w:adjustRightInd/>
        <w:snapToGrid/>
        <w:spacing w:before="0" w:beforeLines="0" w:after="0" w:afterLines="0"/>
        <w:ind w:left="0" w:leftChars="0" w:firstLine="420" w:firstLineChars="200"/>
        <w:textAlignment w:val="auto"/>
        <w:outlineLvl w:val="9"/>
        <w:rPr>
          <w:rFonts w:hint="eastAsia" w:ascii="宋体" w:hAnsi="宋体" w:eastAsia="宋体" w:cs="宋体"/>
          <w:lang w:eastAsia="zh-CN"/>
        </w:rPr>
      </w:pPr>
      <w:bookmarkStart w:id="69" w:name="_Toc19163"/>
      <w:r>
        <w:rPr>
          <w:rFonts w:hint="eastAsia" w:ascii="宋体" w:hAnsi="宋体" w:eastAsia="宋体" w:cs="宋体"/>
        </w:rPr>
        <w:t>正式运营前</w:t>
      </w:r>
      <w:r>
        <w:rPr>
          <w:rFonts w:hint="eastAsia" w:ascii="宋体" w:hAnsi="宋体" w:eastAsia="宋体" w:cs="宋体"/>
          <w:lang w:eastAsia="zh-CN"/>
        </w:rPr>
        <w:t>的</w:t>
      </w:r>
      <w:r>
        <w:rPr>
          <w:rFonts w:hint="eastAsia" w:ascii="宋体" w:hAnsi="宋体" w:eastAsia="宋体" w:cs="宋体"/>
        </w:rPr>
        <w:t>安全评估开展前最后3个月全天运营时间不应</w:t>
      </w:r>
      <w:r>
        <w:rPr>
          <w:rFonts w:hint="eastAsia" w:ascii="宋体" w:hAnsi="宋体" w:eastAsia="宋体" w:cs="宋体"/>
          <w:lang w:val="en-US" w:eastAsia="zh-CN"/>
        </w:rPr>
        <w:t>少</w:t>
      </w:r>
      <w:r>
        <w:rPr>
          <w:rFonts w:hint="eastAsia" w:ascii="宋体" w:hAnsi="宋体" w:eastAsia="宋体" w:cs="宋体"/>
        </w:rPr>
        <w:t>于15 h，统计指标应符合</w:t>
      </w:r>
      <w:r>
        <w:rPr>
          <w:rFonts w:hint="eastAsia" w:ascii="宋体" w:hAnsi="宋体" w:eastAsia="宋体" w:cs="宋体"/>
          <w:lang w:val="en-US" w:eastAsia="zh-CN"/>
        </w:rPr>
        <w:t>下列</w:t>
      </w:r>
      <w:r>
        <w:rPr>
          <w:rFonts w:hint="eastAsia" w:ascii="宋体" w:hAnsi="宋体" w:eastAsia="宋体" w:cs="宋体"/>
        </w:rPr>
        <w:t>规定，指标的定义和计算方法</w:t>
      </w:r>
      <w:r>
        <w:rPr>
          <w:rFonts w:hint="eastAsia" w:ascii="宋体" w:hAnsi="宋体" w:eastAsia="宋体" w:cs="宋体"/>
          <w:lang w:val="en-US" w:eastAsia="zh-CN"/>
        </w:rPr>
        <w:t>应符合</w:t>
      </w:r>
      <w:r>
        <w:rPr>
          <w:rFonts w:hint="eastAsia" w:ascii="宋体" w:hAnsi="宋体" w:eastAsia="宋体" w:cs="宋体"/>
        </w:rPr>
        <w:t>附录A</w:t>
      </w:r>
      <w:bookmarkEnd w:id="69"/>
      <w:r>
        <w:rPr>
          <w:rFonts w:hint="eastAsia" w:ascii="宋体" w:hAnsi="宋体" w:eastAsia="宋体" w:cs="宋体"/>
          <w:lang w:val="en-US" w:eastAsia="zh-CN"/>
        </w:rPr>
        <w:t>的规定</w:t>
      </w:r>
      <w:r>
        <w:rPr>
          <w:rFonts w:hint="eastAsia" w:ascii="宋体" w:hAnsi="宋体" w:eastAsia="宋体" w:cs="宋体"/>
          <w:lang w:eastAsia="zh-CN"/>
        </w:rPr>
        <w:t>。</w:t>
      </w:r>
    </w:p>
    <w:p>
      <w:pPr>
        <w:keepNext w:val="0"/>
        <w:keepLines w:val="0"/>
        <w:pageBreakBefore w:val="0"/>
        <w:widowControl w:val="0"/>
        <w:numPr>
          <w:ilvl w:val="4"/>
          <w:numId w:val="3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列车运行图兑现率不低于99.5%；</w:t>
      </w:r>
    </w:p>
    <w:p>
      <w:pPr>
        <w:keepNext w:val="0"/>
        <w:keepLines w:val="0"/>
        <w:pageBreakBefore w:val="0"/>
        <w:widowControl w:val="0"/>
        <w:numPr>
          <w:ilvl w:val="4"/>
          <w:numId w:val="3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列车正点率不低于99%；</w:t>
      </w:r>
    </w:p>
    <w:p>
      <w:pPr>
        <w:keepNext w:val="0"/>
        <w:keepLines w:val="0"/>
        <w:pageBreakBefore w:val="0"/>
        <w:widowControl w:val="0"/>
        <w:numPr>
          <w:ilvl w:val="4"/>
          <w:numId w:val="3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列车服务可靠度不低于</w:t>
      </w:r>
      <w:r>
        <w:rPr>
          <w:rFonts w:hint="eastAsia" w:ascii="宋体" w:hAnsi="宋体" w:eastAsia="宋体" w:cs="宋体"/>
          <w:highlight w:val="none"/>
          <w:lang w:val="en-US"/>
        </w:rPr>
        <w:t>20</w:t>
      </w:r>
      <w:r>
        <w:rPr>
          <w:rFonts w:hint="eastAsia" w:ascii="宋体" w:hAnsi="宋体" w:eastAsia="宋体" w:cs="宋体"/>
          <w:highlight w:val="none"/>
        </w:rPr>
        <w:t>万列公里/次；</w:t>
      </w:r>
    </w:p>
    <w:p>
      <w:pPr>
        <w:keepNext w:val="0"/>
        <w:keepLines w:val="0"/>
        <w:pageBreakBefore w:val="0"/>
        <w:widowControl w:val="0"/>
        <w:numPr>
          <w:ilvl w:val="4"/>
          <w:numId w:val="3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列车退出正线运营故障率不高于0.</w:t>
      </w:r>
      <w:r>
        <w:rPr>
          <w:rFonts w:hint="eastAsia" w:ascii="宋体" w:hAnsi="宋体" w:eastAsia="宋体" w:cs="宋体"/>
          <w:highlight w:val="none"/>
          <w:lang w:val="en-US"/>
        </w:rPr>
        <w:t>3</w:t>
      </w:r>
      <w:r>
        <w:rPr>
          <w:rFonts w:hint="eastAsia" w:ascii="宋体" w:hAnsi="宋体" w:eastAsia="宋体" w:cs="宋体"/>
          <w:highlight w:val="none"/>
        </w:rPr>
        <w:t>次/万列公里</w:t>
      </w:r>
      <w:r>
        <w:rPr>
          <w:rFonts w:hint="eastAsia" w:ascii="宋体" w:hAnsi="宋体" w:cs="宋体"/>
          <w:highlight w:val="none"/>
          <w:lang w:eastAsia="zh-CN"/>
        </w:rPr>
        <w:t>。</w:t>
      </w:r>
    </w:p>
    <w:p>
      <w:pPr>
        <w:pStyle w:val="107"/>
        <w:spacing w:before="120" w:after="120"/>
        <w:rPr>
          <w:rFonts w:hint="eastAsia" w:hAnsi="Times New Roman" w:cs="Times New Roman"/>
        </w:rPr>
      </w:pPr>
      <w:bookmarkStart w:id="70" w:name="_Toc20793"/>
      <w:bookmarkStart w:id="71" w:name="_Toc28910"/>
      <w:bookmarkStart w:id="72" w:name="_Toc29444"/>
      <w:bookmarkStart w:id="73" w:name="_Toc9514"/>
      <w:bookmarkStart w:id="74" w:name="_Toc22287"/>
      <w:r>
        <w:rPr>
          <w:rFonts w:hint="eastAsia" w:hAnsi="Times New Roman" w:cs="Times New Roman"/>
        </w:rPr>
        <w:t>评估程序</w:t>
      </w:r>
      <w:bookmarkEnd w:id="70"/>
      <w:bookmarkEnd w:id="71"/>
      <w:bookmarkEnd w:id="72"/>
      <w:r>
        <w:rPr>
          <w:rFonts w:hint="eastAsia" w:hAnsi="Times New Roman" w:cs="Times New Roman"/>
          <w:lang w:eastAsia="zh-CN"/>
        </w:rPr>
        <w:t>及方式</w:t>
      </w:r>
      <w:bookmarkEnd w:id="73"/>
      <w:bookmarkEnd w:id="7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bookmarkStart w:id="75" w:name="_Toc27088"/>
      <w:r>
        <w:rPr>
          <w:rFonts w:hint="eastAsia" w:ascii="宋体" w:hAnsi="宋体" w:eastAsia="宋体" w:cs="宋体"/>
        </w:rPr>
        <w:t>安全评估应由独立第三方机构实施，评估程序如下：</w:t>
      </w:r>
      <w:bookmarkEnd w:id="75"/>
    </w:p>
    <w:p>
      <w:pPr>
        <w:keepNext w:val="0"/>
        <w:keepLines w:val="0"/>
        <w:pageBreakBefore w:val="0"/>
        <w:widowControl w:val="0"/>
        <w:numPr>
          <w:ilvl w:val="4"/>
          <w:numId w:val="34"/>
        </w:numPr>
        <w:kinsoku/>
        <w:wordWrap/>
        <w:overflowPunct/>
        <w:topLinePunct w:val="0"/>
        <w:autoSpaceDE/>
        <w:autoSpaceDN/>
        <w:bidi w:val="0"/>
        <w:adjustRightInd w:val="0"/>
        <w:snapToGrid/>
        <w:spacing w:line="240" w:lineRule="auto"/>
        <w:ind w:left="852" w:leftChars="200" w:hanging="432" w:hangingChars="206"/>
        <w:textAlignment w:val="auto"/>
        <w:rPr>
          <w:rFonts w:hint="default" w:ascii="宋体" w:hAnsi="宋体" w:eastAsia="宋体" w:cs="Times New Roman"/>
          <w:highlight w:val="none"/>
        </w:rPr>
      </w:pPr>
      <w:r>
        <w:rPr>
          <w:rFonts w:hint="eastAsia" w:ascii="宋体" w:hAnsi="宋体" w:eastAsia="宋体" w:cs="Times New Roman"/>
          <w:highlight w:val="none"/>
        </w:rPr>
        <w:t>评估机构应结合受评估运营线路的实际情况，制订各专业的评估工作方案；</w:t>
      </w:r>
    </w:p>
    <w:p>
      <w:pPr>
        <w:keepNext w:val="0"/>
        <w:keepLines w:val="0"/>
        <w:pageBreakBefore w:val="0"/>
        <w:widowControl w:val="0"/>
        <w:numPr>
          <w:ilvl w:val="4"/>
          <w:numId w:val="34"/>
        </w:numPr>
        <w:kinsoku/>
        <w:wordWrap/>
        <w:overflowPunct/>
        <w:topLinePunct w:val="0"/>
        <w:autoSpaceDE/>
        <w:autoSpaceDN/>
        <w:bidi w:val="0"/>
        <w:adjustRightInd w:val="0"/>
        <w:snapToGrid/>
        <w:spacing w:line="240" w:lineRule="auto"/>
        <w:ind w:left="852" w:leftChars="200" w:hanging="432" w:hangingChars="206"/>
        <w:textAlignment w:val="auto"/>
        <w:rPr>
          <w:rFonts w:hint="default" w:ascii="宋体" w:hAnsi="宋体" w:eastAsia="宋体" w:cs="Times New Roman"/>
          <w:highlight w:val="none"/>
        </w:rPr>
      </w:pPr>
      <w:r>
        <w:rPr>
          <w:rFonts w:hint="eastAsia" w:ascii="宋体" w:hAnsi="宋体" w:eastAsia="宋体" w:cs="Times New Roman"/>
          <w:highlight w:val="none"/>
        </w:rPr>
        <w:t>运营单位应按规定时间和规定检查项目提交自查报告；</w:t>
      </w:r>
    </w:p>
    <w:p>
      <w:pPr>
        <w:keepNext w:val="0"/>
        <w:keepLines w:val="0"/>
        <w:pageBreakBefore w:val="0"/>
        <w:widowControl w:val="0"/>
        <w:numPr>
          <w:ilvl w:val="4"/>
          <w:numId w:val="34"/>
        </w:numPr>
        <w:kinsoku/>
        <w:wordWrap/>
        <w:overflowPunct/>
        <w:topLinePunct w:val="0"/>
        <w:autoSpaceDE/>
        <w:autoSpaceDN/>
        <w:bidi w:val="0"/>
        <w:adjustRightInd w:val="0"/>
        <w:snapToGrid/>
        <w:spacing w:line="240" w:lineRule="auto"/>
        <w:ind w:left="852" w:leftChars="200" w:hanging="432" w:hangingChars="206"/>
        <w:textAlignment w:val="auto"/>
        <w:rPr>
          <w:rFonts w:hint="default" w:ascii="宋体" w:hAnsi="宋体" w:eastAsia="宋体" w:cs="Times New Roman"/>
          <w:highlight w:val="none"/>
        </w:rPr>
      </w:pPr>
      <w:r>
        <w:rPr>
          <w:rFonts w:hint="eastAsia" w:ascii="宋体" w:hAnsi="宋体" w:eastAsia="宋体" w:cs="Times New Roman"/>
          <w:highlight w:val="none"/>
        </w:rPr>
        <w:t>评估机构应对项目是否满足评估条件进行内容审核；</w:t>
      </w:r>
    </w:p>
    <w:p>
      <w:pPr>
        <w:keepNext w:val="0"/>
        <w:keepLines w:val="0"/>
        <w:pageBreakBefore w:val="0"/>
        <w:widowControl w:val="0"/>
        <w:numPr>
          <w:ilvl w:val="4"/>
          <w:numId w:val="34"/>
        </w:numPr>
        <w:kinsoku/>
        <w:wordWrap/>
        <w:overflowPunct/>
        <w:topLinePunct w:val="0"/>
        <w:autoSpaceDE/>
        <w:autoSpaceDN/>
        <w:bidi w:val="0"/>
        <w:adjustRightInd w:val="0"/>
        <w:snapToGrid/>
        <w:spacing w:line="240" w:lineRule="auto"/>
        <w:ind w:left="852" w:leftChars="200" w:hanging="432" w:hangingChars="206"/>
        <w:textAlignment w:val="auto"/>
        <w:rPr>
          <w:rFonts w:hint="default" w:ascii="宋体" w:hAnsi="宋体" w:eastAsia="宋体" w:cs="Times New Roman"/>
          <w:highlight w:val="none"/>
        </w:rPr>
      </w:pPr>
      <w:r>
        <w:rPr>
          <w:rFonts w:hint="eastAsia" w:ascii="宋体" w:hAnsi="宋体" w:eastAsia="宋体" w:cs="Times New Roman"/>
          <w:highlight w:val="none"/>
        </w:rPr>
        <w:t>评估机构应根据评估工作方案和自查报告，审阅运营单位的基础资料、现场核查、专题访谈，并开展定性、定量的评估工作</w:t>
      </w:r>
      <w:r>
        <w:rPr>
          <w:rFonts w:hint="eastAsia" w:ascii="宋体" w:hAnsi="宋体" w:eastAsia="宋体" w:cs="Times New Roman"/>
          <w:highlight w:val="none"/>
          <w:lang w:eastAsia="zh-CN"/>
        </w:rPr>
        <w:t>，最后</w:t>
      </w:r>
      <w:r>
        <w:rPr>
          <w:rFonts w:hint="eastAsia" w:ascii="宋体" w:hAnsi="宋体" w:eastAsia="宋体" w:cs="Times New Roman"/>
          <w:highlight w:val="none"/>
        </w:rPr>
        <w:t>形成评估报告。</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Times New Roman"/>
          <w:b w:val="0"/>
          <w:bCs w:val="0"/>
          <w:highlight w:val="none"/>
        </w:rPr>
      </w:pPr>
      <w:bookmarkStart w:id="76" w:name="_Toc14765"/>
      <w:bookmarkStart w:id="77" w:name="_Toc19157"/>
      <w:bookmarkStart w:id="78" w:name="_Toc11115"/>
      <w:bookmarkStart w:id="79" w:name="_Toc19060"/>
      <w:bookmarkStart w:id="80" w:name="_Toc17540"/>
      <w:bookmarkStart w:id="81" w:name="_Toc7383"/>
      <w:r>
        <w:rPr>
          <w:rFonts w:hint="eastAsia" w:ascii="宋体" w:hAnsi="宋体" w:eastAsia="宋体" w:cs="宋体"/>
          <w:b w:val="0"/>
          <w:bCs w:val="0"/>
          <w:sz w:val="21"/>
          <w:lang w:val="en-US" w:eastAsia="zh-CN" w:bidi="ar-SA"/>
        </w:rPr>
        <w:t>评估时宜采用查阅资料、旁站检查、人员问询、列车添乘、专项检测等方式，重点核查相关岗</w:t>
      </w:r>
      <w:r>
        <w:rPr>
          <w:rFonts w:hint="eastAsia" w:ascii="宋体" w:hAnsi="宋体" w:eastAsia="宋体" w:cs="Times New Roman"/>
          <w:b w:val="0"/>
          <w:bCs w:val="0"/>
          <w:highlight w:val="none"/>
        </w:rPr>
        <w:t>位</w:t>
      </w:r>
      <w:r>
        <w:rPr>
          <w:rFonts w:hint="eastAsia" w:ascii="宋体" w:hAnsi="宋体" w:eastAsia="宋体" w:cs="宋体"/>
          <w:b w:val="0"/>
          <w:bCs w:val="0"/>
          <w:sz w:val="21"/>
          <w:lang w:val="en-US" w:eastAsia="zh-CN" w:bidi="ar-SA"/>
        </w:rPr>
        <w:t>的作业程序、岗位职责、操作规程及应急处置等。</w:t>
      </w:r>
      <w:bookmarkEnd w:id="76"/>
    </w:p>
    <w:bookmarkEnd w:id="77"/>
    <w:bookmarkEnd w:id="78"/>
    <w:bookmarkEnd w:id="79"/>
    <w:bookmarkEnd w:id="80"/>
    <w:bookmarkEnd w:id="81"/>
    <w:p>
      <w:pPr>
        <w:pStyle w:val="106"/>
        <w:spacing w:before="240" w:after="240"/>
        <w:rPr>
          <w:rFonts w:hint="eastAsia" w:hAnsi="Times New Roman" w:cs="Times New Roman"/>
          <w:highlight w:val="none"/>
          <w:lang w:val="en-US" w:eastAsia="zh-CN"/>
        </w:rPr>
      </w:pPr>
      <w:r>
        <w:rPr>
          <w:rFonts w:hint="eastAsia" w:hAnsi="Times New Roman" w:cs="Times New Roman"/>
          <w:highlight w:val="none"/>
          <w:lang w:val="en-US" w:eastAsia="zh-CN"/>
        </w:rPr>
        <w:t>风险分级管控与隐患排查治理</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82" w:name="_Toc17555"/>
      <w:bookmarkStart w:id="83" w:name="_Toc27085"/>
      <w:bookmarkStart w:id="84" w:name="_Toc25310"/>
      <w:bookmarkStart w:id="85" w:name="_Toc10133"/>
      <w:bookmarkStart w:id="86" w:name="_Toc3020"/>
      <w:bookmarkStart w:id="87" w:name="_Toc24916"/>
      <w:bookmarkStart w:id="88" w:name="_Toc10487"/>
      <w:bookmarkStart w:id="89" w:name="_Toc19236"/>
      <w:bookmarkStart w:id="90" w:name="_Toc1700"/>
      <w:r>
        <w:rPr>
          <w:rFonts w:hint="eastAsia" w:ascii="宋体" w:hAnsi="宋体" w:eastAsia="宋体" w:cs="宋体"/>
          <w:highlight w:val="none"/>
        </w:rPr>
        <w:t>运营单位的组织架构、人员配置、职责分工、安全管理制度和安全经费投入应满足正式运营需要。</w:t>
      </w:r>
      <w:r>
        <w:rPr>
          <w:rFonts w:hint="eastAsia" w:ascii="宋体" w:hAnsi="宋体" w:eastAsia="宋体" w:cs="宋体"/>
          <w:highlight w:val="none"/>
          <w:lang w:eastAsia="zh-CN"/>
        </w:rPr>
        <w:t>评估内容如下</w:t>
      </w:r>
      <w:r>
        <w:rPr>
          <w:rFonts w:hint="eastAsia" w:ascii="宋体" w:hAnsi="宋体" w:eastAsia="宋体" w:cs="宋体"/>
          <w:highlight w:val="none"/>
        </w:rPr>
        <w:t>：</w:t>
      </w:r>
      <w:bookmarkEnd w:id="82"/>
      <w:bookmarkEnd w:id="83"/>
      <w:bookmarkEnd w:id="84"/>
      <w:bookmarkEnd w:id="85"/>
    </w:p>
    <w:p>
      <w:pPr>
        <w:keepNext w:val="0"/>
        <w:keepLines w:val="0"/>
        <w:pageBreakBefore w:val="0"/>
        <w:widowControl w:val="0"/>
        <w:numPr>
          <w:ilvl w:val="4"/>
          <w:numId w:val="3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rPr>
      </w:pPr>
      <w:r>
        <w:rPr>
          <w:rFonts w:hint="eastAsia" w:ascii="宋体" w:hAnsi="宋体" w:eastAsia="宋体" w:cs="Times New Roman"/>
          <w:highlight w:val="none"/>
        </w:rPr>
        <w:t>抽查至少2个岗位人员，检查人员上岗条件及岗位职责、人员实际到岗与定岗定编的符合性，以及行车、客运、维护和安全生产等部门的运转有效性；</w:t>
      </w:r>
    </w:p>
    <w:p>
      <w:pPr>
        <w:keepNext w:val="0"/>
        <w:keepLines w:val="0"/>
        <w:pageBreakBefore w:val="0"/>
        <w:widowControl w:val="0"/>
        <w:numPr>
          <w:ilvl w:val="4"/>
          <w:numId w:val="3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rPr>
      </w:pPr>
      <w:r>
        <w:rPr>
          <w:rFonts w:hint="eastAsia" w:ascii="宋体" w:hAnsi="宋体" w:eastAsia="宋体" w:cs="Times New Roman"/>
          <w:highlight w:val="none"/>
        </w:rPr>
        <w:t>抽查安全生产责任制、安全生产会议、安全教育培训、事故事件管理、安全生产监督检查、安全生产奖惩、安全生产经费等安全管理制度，核查安全管理制度的内容完整性、使用有效性、制修订规范性；</w:t>
      </w:r>
    </w:p>
    <w:p>
      <w:pPr>
        <w:keepNext w:val="0"/>
        <w:keepLines w:val="0"/>
        <w:pageBreakBefore w:val="0"/>
        <w:widowControl w:val="0"/>
        <w:numPr>
          <w:ilvl w:val="4"/>
          <w:numId w:val="3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rPr>
        <w:t>查阅安全生产经费使用情况报告，核查经费用途和提取比例符合企业安全生产费用提取和使用管理规定</w:t>
      </w:r>
      <w:r>
        <w:rPr>
          <w:rFonts w:hint="eastAsia" w:ascii="宋体" w:hAnsi="宋体" w:eastAsia="宋体" w:cs="Times New Roman"/>
          <w:highlight w:val="none"/>
          <w:lang w:val="en-US" w:eastAsia="zh-CN"/>
        </w:rPr>
        <w:t>；</w:t>
      </w:r>
    </w:p>
    <w:p>
      <w:pPr>
        <w:keepNext w:val="0"/>
        <w:keepLines w:val="0"/>
        <w:pageBreakBefore w:val="0"/>
        <w:widowControl w:val="0"/>
        <w:numPr>
          <w:ilvl w:val="4"/>
          <w:numId w:val="3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rPr>
      </w:pPr>
      <w:r>
        <w:rPr>
          <w:rFonts w:hint="eastAsia" w:ascii="宋体" w:hAnsi="宋体" w:eastAsia="宋体" w:cs="Times New Roman"/>
          <w:highlight w:val="none"/>
        </w:rPr>
        <w:t>当采用新工艺、新技术、新材料或者使用新设备时，</w:t>
      </w:r>
      <w:r>
        <w:rPr>
          <w:rFonts w:hint="eastAsia" w:ascii="宋体" w:hAnsi="宋体" w:eastAsia="宋体" w:cs="Times New Roman"/>
          <w:highlight w:val="none"/>
          <w:lang w:eastAsia="zh-CN"/>
        </w:rPr>
        <w:t>查阅</w:t>
      </w:r>
      <w:r>
        <w:rPr>
          <w:rFonts w:hint="eastAsia" w:ascii="宋体" w:hAnsi="宋体" w:eastAsia="宋体" w:cs="Times New Roman"/>
          <w:highlight w:val="none"/>
        </w:rPr>
        <w:t>运营单位对相关岗位从业人员</w:t>
      </w:r>
      <w:r>
        <w:rPr>
          <w:rFonts w:hint="eastAsia" w:ascii="宋体" w:hAnsi="宋体" w:eastAsia="宋体" w:cs="Times New Roman"/>
          <w:highlight w:val="none"/>
          <w:lang w:eastAsia="zh-CN"/>
        </w:rPr>
        <w:t>的</w:t>
      </w:r>
      <w:r>
        <w:rPr>
          <w:rFonts w:hint="eastAsia" w:ascii="宋体" w:hAnsi="宋体" w:eastAsia="宋体" w:cs="Times New Roman"/>
          <w:highlight w:val="none"/>
        </w:rPr>
        <w:t>针对性安全培训</w:t>
      </w:r>
      <w:r>
        <w:rPr>
          <w:rFonts w:hint="eastAsia" w:ascii="宋体" w:hAnsi="宋体" w:eastAsia="宋体" w:cs="Times New Roman"/>
          <w:highlight w:val="none"/>
          <w:lang w:eastAsia="zh-CN"/>
        </w:rPr>
        <w:t>记录</w:t>
      </w:r>
      <w:r>
        <w:rPr>
          <w:rFonts w:hint="eastAsia" w:ascii="宋体" w:hAnsi="宋体" w:eastAsia="宋体" w:cs="Times New Roman"/>
          <w:highlight w:val="none"/>
        </w:rPr>
        <w:t>。</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91" w:name="_Toc30789"/>
      <w:bookmarkStart w:id="92" w:name="_Toc851"/>
      <w:bookmarkStart w:id="93" w:name="_Toc11866"/>
      <w:bookmarkStart w:id="94" w:name="_Toc3015"/>
      <w:r>
        <w:rPr>
          <w:rFonts w:hint="eastAsia" w:ascii="宋体" w:hAnsi="宋体" w:eastAsia="宋体" w:cs="宋体"/>
          <w:highlight w:val="none"/>
        </w:rPr>
        <w:t>运营单位应</w:t>
      </w:r>
      <w:r>
        <w:rPr>
          <w:rFonts w:hint="eastAsia" w:ascii="宋体" w:hAnsi="宋体" w:eastAsia="宋体" w:cs="宋体"/>
          <w:highlight w:val="none"/>
          <w:lang w:val="en-US" w:eastAsia="zh-CN"/>
        </w:rPr>
        <w:t>持续</w:t>
      </w:r>
      <w:r>
        <w:rPr>
          <w:rFonts w:hint="eastAsia" w:ascii="宋体" w:hAnsi="宋体" w:eastAsia="宋体" w:cs="宋体"/>
          <w:highlight w:val="none"/>
        </w:rPr>
        <w:t>完善运营安全风险分级管控与隐患排查治理工作</w:t>
      </w:r>
      <w:r>
        <w:rPr>
          <w:rFonts w:hint="eastAsia" w:ascii="宋体" w:hAnsi="宋体" w:eastAsia="宋体" w:cs="宋体"/>
          <w:highlight w:val="none"/>
          <w:lang w:eastAsia="zh-CN"/>
        </w:rPr>
        <w:t>机制</w:t>
      </w:r>
      <w:r>
        <w:rPr>
          <w:rFonts w:hint="eastAsia" w:ascii="宋体" w:hAnsi="宋体" w:eastAsia="宋体" w:cs="宋体"/>
          <w:highlight w:val="none"/>
        </w:rPr>
        <w:t>。评估时应抽查运营安全风险分级管控和隐患排查治理、岗位操作手册</w:t>
      </w:r>
      <w:r>
        <w:rPr>
          <w:rFonts w:hint="eastAsia" w:ascii="宋体" w:hAnsi="宋体" w:eastAsia="宋体" w:cs="宋体"/>
          <w:highlight w:val="none"/>
          <w:lang w:eastAsia="zh-CN"/>
        </w:rPr>
        <w:t>、</w:t>
      </w:r>
      <w:r>
        <w:rPr>
          <w:rFonts w:hint="eastAsia" w:ascii="宋体" w:hAnsi="宋体" w:eastAsia="宋体" w:cs="宋体"/>
          <w:highlight w:val="none"/>
        </w:rPr>
        <w:t>维护规程等制度，运营安全风险数据库，隐患排查手册</w:t>
      </w:r>
      <w:r>
        <w:rPr>
          <w:rFonts w:hint="eastAsia" w:ascii="宋体" w:hAnsi="宋体" w:eastAsia="宋体" w:cs="宋体"/>
          <w:highlight w:val="none"/>
          <w:lang w:eastAsia="zh-CN"/>
        </w:rPr>
        <w:t>和隐患排查治理工作台账</w:t>
      </w:r>
      <w:r>
        <w:rPr>
          <w:rFonts w:hint="eastAsia" w:ascii="宋体" w:hAnsi="宋体" w:eastAsia="宋体" w:cs="宋体"/>
          <w:highlight w:val="none"/>
        </w:rPr>
        <w:t>等，核查</w:t>
      </w:r>
      <w:r>
        <w:rPr>
          <w:rFonts w:hint="eastAsia" w:ascii="宋体" w:hAnsi="宋体" w:eastAsia="宋体" w:cs="宋体"/>
          <w:highlight w:val="none"/>
          <w:lang w:val="en-US" w:eastAsia="zh-CN"/>
        </w:rPr>
        <w:t>是否满足</w:t>
      </w:r>
      <w:r>
        <w:rPr>
          <w:rFonts w:hint="eastAsia" w:ascii="宋体" w:hAnsi="宋体" w:eastAsia="宋体" w:cs="宋体"/>
          <w:highlight w:val="none"/>
        </w:rPr>
        <w:t>下列要求：</w:t>
      </w:r>
      <w:bookmarkEnd w:id="91"/>
      <w:bookmarkEnd w:id="92"/>
      <w:bookmarkEnd w:id="93"/>
      <w:bookmarkEnd w:id="94"/>
    </w:p>
    <w:p>
      <w:pPr>
        <w:keepNext w:val="0"/>
        <w:keepLines w:val="0"/>
        <w:pageBreakBefore w:val="0"/>
        <w:widowControl w:val="0"/>
        <w:numPr>
          <w:ilvl w:val="4"/>
          <w:numId w:val="3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rPr>
      </w:pPr>
      <w:r>
        <w:rPr>
          <w:rFonts w:hint="eastAsia" w:ascii="宋体" w:hAnsi="宋体" w:eastAsia="宋体" w:cs="Times New Roman"/>
          <w:highlight w:val="none"/>
        </w:rPr>
        <w:t>线路投入初期运营6个月内应完成首次全面风险辨识，其后每年开展一次全面风险辨识。辨识</w:t>
      </w:r>
      <w:r>
        <w:rPr>
          <w:rFonts w:hint="eastAsia" w:ascii="宋体" w:hAnsi="宋体" w:eastAsia="宋体" w:cs="Times New Roman"/>
          <w:highlight w:val="none"/>
          <w:lang w:val="en-US" w:eastAsia="zh-CN"/>
        </w:rPr>
        <w:t>范围应包括</w:t>
      </w:r>
      <w:r>
        <w:rPr>
          <w:rFonts w:hint="eastAsia" w:ascii="宋体" w:hAnsi="宋体" w:eastAsia="宋体" w:cs="Times New Roman"/>
          <w:highlight w:val="none"/>
        </w:rPr>
        <w:t>行车组织、客运组织、设施设备运行维护、应急管理、保护区管理等各日常生产作业</w:t>
      </w:r>
      <w:r>
        <w:rPr>
          <w:rFonts w:hint="eastAsia" w:ascii="宋体" w:hAnsi="宋体" w:eastAsia="宋体" w:cs="Times New Roman"/>
          <w:highlight w:val="none"/>
          <w:lang w:eastAsia="zh-CN"/>
        </w:rPr>
        <w:t>，</w:t>
      </w:r>
      <w:r>
        <w:rPr>
          <w:rFonts w:hint="eastAsia" w:ascii="宋体" w:hAnsi="宋体" w:eastAsia="宋体" w:cs="Times New Roman"/>
          <w:highlight w:val="none"/>
        </w:rPr>
        <w:t>并纳入风险数据库；</w:t>
      </w:r>
    </w:p>
    <w:p>
      <w:pPr>
        <w:keepNext w:val="0"/>
        <w:keepLines w:val="0"/>
        <w:pageBreakBefore w:val="0"/>
        <w:widowControl w:val="0"/>
        <w:numPr>
          <w:ilvl w:val="4"/>
          <w:numId w:val="3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eastAsia="zh-CN"/>
        </w:rPr>
      </w:pPr>
      <w:r>
        <w:rPr>
          <w:rFonts w:hint="eastAsia" w:ascii="宋体" w:hAnsi="宋体" w:eastAsia="宋体" w:cs="Times New Roman"/>
          <w:highlight w:val="none"/>
        </w:rPr>
        <w:t>对照运营安全风险数据库逐项分析所列风险管控措施的弱化、失效、缺失可能产生的隐患，确定隐患等级，结合线路实际提出风险管控措施</w:t>
      </w:r>
      <w:r>
        <w:rPr>
          <w:rFonts w:hint="eastAsia" w:ascii="宋体" w:hAnsi="宋体" w:eastAsia="宋体" w:cs="Times New Roman"/>
          <w:highlight w:val="none"/>
          <w:lang w:eastAsia="zh-CN"/>
        </w:rPr>
        <w:t>，</w:t>
      </w:r>
      <w:r>
        <w:rPr>
          <w:rFonts w:hint="eastAsia" w:ascii="宋体" w:hAnsi="宋体" w:eastAsia="宋体" w:cs="Times New Roman"/>
          <w:highlight w:val="none"/>
        </w:rPr>
        <w:t>并按一岗一册的原则分解到岗位，形成各岗位的隐患排查手册</w:t>
      </w:r>
      <w:r>
        <w:rPr>
          <w:rFonts w:hint="eastAsia" w:ascii="宋体" w:hAnsi="宋体" w:eastAsia="宋体" w:cs="Times New Roman"/>
          <w:highlight w:val="none"/>
          <w:lang w:eastAsia="zh-CN"/>
        </w:rPr>
        <w:t>，</w:t>
      </w:r>
      <w:r>
        <w:rPr>
          <w:rFonts w:hint="eastAsia" w:ascii="宋体" w:hAnsi="宋体" w:eastAsia="宋体" w:cs="Times New Roman"/>
          <w:highlight w:val="none"/>
        </w:rPr>
        <w:t>日常隐患排查每周不少于1次</w:t>
      </w:r>
      <w:r>
        <w:rPr>
          <w:rFonts w:hint="eastAsia" w:ascii="宋体" w:hAnsi="宋体" w:eastAsia="宋体" w:cs="Times New Roman"/>
          <w:highlight w:val="none"/>
          <w:lang w:eastAsia="zh-CN"/>
        </w:rPr>
        <w:t>；</w:t>
      </w:r>
    </w:p>
    <w:p>
      <w:pPr>
        <w:keepNext w:val="0"/>
        <w:keepLines w:val="0"/>
        <w:pageBreakBefore w:val="0"/>
        <w:widowControl w:val="0"/>
        <w:numPr>
          <w:ilvl w:val="4"/>
          <w:numId w:val="3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rPr>
      </w:pPr>
      <w:r>
        <w:rPr>
          <w:rFonts w:hint="eastAsia" w:ascii="宋体" w:hAnsi="宋体" w:eastAsia="宋体" w:cs="Times New Roman"/>
          <w:highlight w:val="none"/>
        </w:rPr>
        <w:t>抽取运营安全风险数据库中所列的风险点，核查设计缺陷、设备可靠性差，以及管理不协同、专业间接口衔接不畅等问题</w:t>
      </w:r>
      <w:r>
        <w:rPr>
          <w:rFonts w:hint="eastAsia" w:ascii="宋体" w:hAnsi="宋体" w:eastAsia="宋体" w:cs="Times New Roman"/>
          <w:highlight w:val="none"/>
          <w:lang w:eastAsia="zh-CN"/>
        </w:rPr>
        <w:t>的</w:t>
      </w:r>
      <w:r>
        <w:rPr>
          <w:rFonts w:hint="eastAsia" w:ascii="宋体" w:hAnsi="宋体" w:eastAsia="宋体" w:cs="Times New Roman"/>
          <w:highlight w:val="none"/>
        </w:rPr>
        <w:t>管控</w:t>
      </w:r>
      <w:r>
        <w:rPr>
          <w:rFonts w:hint="eastAsia" w:ascii="宋体" w:hAnsi="宋体" w:eastAsia="宋体" w:cs="Times New Roman"/>
          <w:highlight w:val="none"/>
          <w:lang w:eastAsia="zh-CN"/>
        </w:rPr>
        <w:t>落实情况</w:t>
      </w:r>
      <w:r>
        <w:rPr>
          <w:rFonts w:hint="eastAsia" w:ascii="宋体" w:hAnsi="宋体" w:eastAsia="宋体" w:cs="Times New Roman"/>
          <w:highlight w:val="none"/>
        </w:rPr>
        <w:t>和实施的有效性。</w:t>
      </w:r>
      <w:bookmarkEnd w:id="86"/>
      <w:bookmarkEnd w:id="87"/>
      <w:bookmarkEnd w:id="88"/>
      <w:bookmarkEnd w:id="89"/>
      <w:bookmarkEnd w:id="90"/>
    </w:p>
    <w:p>
      <w:pPr>
        <w:pStyle w:val="106"/>
        <w:spacing w:before="240" w:after="240"/>
        <w:rPr>
          <w:rFonts w:hint="eastAsia" w:hAnsi="Times New Roman" w:cs="Times New Roman"/>
          <w:lang w:val="en-US" w:eastAsia="zh-CN"/>
        </w:rPr>
      </w:pPr>
      <w:bookmarkStart w:id="95" w:name="_Toc18277"/>
      <w:bookmarkStart w:id="96" w:name="_Toc17156"/>
      <w:bookmarkStart w:id="97" w:name="_Toc18122"/>
      <w:bookmarkStart w:id="98" w:name="_Toc12193"/>
      <w:bookmarkStart w:id="99" w:name="_Toc22151"/>
      <w:r>
        <w:rPr>
          <w:rFonts w:hint="eastAsia" w:hAnsi="Times New Roman" w:cs="Times New Roman"/>
          <w:lang w:val="en-US" w:eastAsia="zh-CN"/>
        </w:rPr>
        <w:t>行车组织</w:t>
      </w:r>
      <w:bookmarkEnd w:id="95"/>
      <w:bookmarkEnd w:id="96"/>
      <w:bookmarkEnd w:id="97"/>
      <w:bookmarkEnd w:id="98"/>
      <w:bookmarkEnd w:id="99"/>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00" w:name="_Toc28988"/>
      <w:bookmarkStart w:id="101" w:name="_Toc26822"/>
      <w:bookmarkStart w:id="102" w:name="_Toc19479"/>
      <w:bookmarkStart w:id="103" w:name="_Toc19416"/>
      <w:bookmarkStart w:id="104" w:name="_Toc23786"/>
      <w:bookmarkStart w:id="105" w:name="_Toc30246"/>
      <w:r>
        <w:rPr>
          <w:rFonts w:hint="eastAsia" w:ascii="宋体" w:hAnsi="宋体" w:eastAsia="宋体" w:cs="宋体"/>
          <w:highlight w:val="none"/>
        </w:rPr>
        <w:t>运营单位应</w:t>
      </w:r>
      <w:r>
        <w:rPr>
          <w:rFonts w:hint="eastAsia" w:ascii="宋体" w:hAnsi="宋体" w:eastAsia="宋体" w:cs="宋体"/>
          <w:highlight w:val="none"/>
          <w:lang w:val="en-US" w:eastAsia="zh-CN"/>
        </w:rPr>
        <w:t>完善运营管辖范围内的</w:t>
      </w:r>
      <w:r>
        <w:rPr>
          <w:rFonts w:hint="eastAsia" w:ascii="宋体" w:hAnsi="宋体" w:eastAsia="宋体" w:cs="宋体"/>
          <w:highlight w:val="none"/>
        </w:rPr>
        <w:t>行车组织管理制度，统筹管理</w:t>
      </w:r>
      <w:r>
        <w:rPr>
          <w:rFonts w:hint="eastAsia" w:ascii="宋体" w:hAnsi="宋体" w:eastAsia="宋体" w:cs="宋体"/>
          <w:highlight w:val="none"/>
          <w:lang w:val="en-US" w:eastAsia="zh-CN"/>
        </w:rPr>
        <w:t>正线、综合车场的</w:t>
      </w:r>
      <w:r>
        <w:rPr>
          <w:rFonts w:hint="eastAsia" w:ascii="宋体" w:hAnsi="宋体" w:eastAsia="宋体" w:cs="宋体"/>
          <w:highlight w:val="none"/>
        </w:rPr>
        <w:t>行车</w:t>
      </w:r>
      <w:r>
        <w:rPr>
          <w:rFonts w:hint="eastAsia" w:ascii="宋体" w:hAnsi="宋体" w:eastAsia="宋体" w:cs="宋体"/>
          <w:highlight w:val="none"/>
          <w:lang w:val="en-US" w:eastAsia="zh-CN"/>
        </w:rPr>
        <w:t>组织</w:t>
      </w:r>
      <w:r>
        <w:rPr>
          <w:rFonts w:hint="eastAsia" w:ascii="宋体" w:hAnsi="宋体" w:eastAsia="宋体" w:cs="宋体"/>
          <w:highlight w:val="none"/>
        </w:rPr>
        <w:t>安全。</w:t>
      </w:r>
      <w:r>
        <w:rPr>
          <w:rFonts w:hint="eastAsia" w:ascii="宋体" w:hAnsi="宋体" w:eastAsia="宋体" w:cs="宋体"/>
          <w:highlight w:val="none"/>
          <w:lang w:val="en-US" w:eastAsia="zh-CN"/>
        </w:rPr>
        <w:t>评估时应检查</w:t>
      </w:r>
      <w:r>
        <w:rPr>
          <w:rFonts w:hint="eastAsia" w:ascii="宋体" w:hAnsi="宋体" w:eastAsia="宋体" w:cs="宋体"/>
          <w:highlight w:val="none"/>
        </w:rPr>
        <w:t>相关规章制度</w:t>
      </w:r>
      <w:r>
        <w:rPr>
          <w:rFonts w:hint="eastAsia" w:ascii="宋体" w:hAnsi="宋体" w:eastAsia="宋体" w:cs="宋体"/>
          <w:highlight w:val="none"/>
          <w:lang w:val="en-US" w:eastAsia="zh-CN"/>
        </w:rPr>
        <w:t>中</w:t>
      </w:r>
      <w:r>
        <w:rPr>
          <w:rFonts w:hint="eastAsia" w:ascii="宋体" w:hAnsi="宋体" w:eastAsia="宋体" w:cs="宋体"/>
          <w:highlight w:val="none"/>
        </w:rPr>
        <w:t>针对行车组织的接发列车、调车、停车等</w:t>
      </w:r>
      <w:r>
        <w:rPr>
          <w:rFonts w:hint="eastAsia" w:ascii="宋体" w:hAnsi="宋体" w:eastAsia="宋体" w:cs="宋体"/>
          <w:highlight w:val="none"/>
          <w:lang w:eastAsia="zh-CN"/>
        </w:rPr>
        <w:t>作业</w:t>
      </w:r>
      <w:r>
        <w:rPr>
          <w:rFonts w:hint="eastAsia" w:ascii="宋体" w:hAnsi="宋体" w:eastAsia="宋体" w:cs="宋体"/>
          <w:highlight w:val="none"/>
        </w:rPr>
        <w:t>可能导致行车事故和人员伤亡的风险</w:t>
      </w:r>
      <w:r>
        <w:rPr>
          <w:rFonts w:hint="eastAsia" w:ascii="宋体" w:hAnsi="宋体" w:eastAsia="宋体" w:cs="宋体"/>
          <w:highlight w:val="none"/>
          <w:lang w:val="en-US" w:eastAsia="zh-CN"/>
        </w:rPr>
        <w:t>管控措施</w:t>
      </w:r>
      <w:r>
        <w:rPr>
          <w:rFonts w:hint="eastAsia" w:ascii="宋体" w:hAnsi="宋体" w:eastAsia="宋体" w:cs="宋体"/>
          <w:highlight w:val="none"/>
        </w:rPr>
        <w:t>，</w:t>
      </w:r>
      <w:r>
        <w:rPr>
          <w:rFonts w:hint="eastAsia" w:ascii="宋体" w:hAnsi="宋体" w:eastAsia="宋体" w:cs="宋体"/>
          <w:highlight w:val="none"/>
          <w:lang w:val="en-US" w:eastAsia="zh-CN"/>
        </w:rPr>
        <w:t>核查是否满足</w:t>
      </w:r>
      <w:r>
        <w:rPr>
          <w:rFonts w:hint="eastAsia" w:ascii="宋体" w:hAnsi="宋体" w:eastAsia="宋体" w:cs="宋体"/>
          <w:highlight w:val="none"/>
        </w:rPr>
        <w:t>下列要求：</w:t>
      </w:r>
      <w:bookmarkEnd w:id="100"/>
      <w:bookmarkEnd w:id="101"/>
      <w:bookmarkEnd w:id="102"/>
      <w:bookmarkEnd w:id="103"/>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rPr>
        <w:t>正线、</w:t>
      </w:r>
      <w:r>
        <w:rPr>
          <w:rFonts w:hint="eastAsia" w:ascii="宋体" w:hAnsi="宋体" w:eastAsia="宋体" w:cs="Times New Roman"/>
          <w:highlight w:val="none"/>
          <w:lang w:val="en-US" w:eastAsia="zh-CN"/>
        </w:rPr>
        <w:t>综合车场的行车组织宜由行车调度员指挥；</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非全自动运行区域、全自动运行区域应纳入调度集中管理，非全自动运行区域、全自动运行区域、转换区域要落实管理制度，规定人员出入、列车驾驶模式转换等流程；</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全自动运行区域设置的物理防护分区应有效，人员出入时应严格使用防护开关进行防护；</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调度人员应严格按非全自动运行区域、全自动运行区域管理要求组织列车出入场、调车作业，列车出入场、调车作业时宜采用全自动运行模式，采用降级运行模式时应注意进路安全；</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接发车前应检查确认全自动运行区域线路空闲，进路、道岔位置正确，影响进路的调车作业和施工作业已经停止；</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调度人员应对非全自动运行区域、全自动运行区域进行不间断的监控；</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采用降级模式行车时，应严格按规定速度控制列车，防止列车超速；</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调车作业应预留足够的安全防护距离严格控制速度，并做好随时停车的准备措施；</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试车线限速标、停车标等标志标识应醒目、规范；</w:t>
      </w:r>
    </w:p>
    <w:p>
      <w:pPr>
        <w:keepNext w:val="0"/>
        <w:keepLines w:val="0"/>
        <w:pageBreakBefore w:val="0"/>
        <w:widowControl w:val="0"/>
        <w:numPr>
          <w:ilvl w:val="4"/>
          <w:numId w:val="3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试车线调试前应做好相关安全防护措施，试车速度不得超过试车线最高允许运行速度，接近尽头线阻挡信号机时应控制列车速度，并预留随时停车的安全距离，距离尽头线阻挡信号机10 m时必须停车。</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106" w:name="_Toc23828"/>
      <w:bookmarkStart w:id="107" w:name="_Toc32652"/>
      <w:bookmarkStart w:id="108" w:name="_Toc1206"/>
      <w:bookmarkStart w:id="109" w:name="_Toc3542"/>
      <w:r>
        <w:rPr>
          <w:rFonts w:hint="eastAsia" w:ascii="宋体" w:hAnsi="宋体" w:eastAsia="宋体" w:cs="宋体"/>
          <w:highlight w:val="none"/>
          <w:lang w:val="en-US" w:eastAsia="zh-CN"/>
        </w:rPr>
        <w:t>运营单位应落实行车组织责任制，确保行车专业间协调与指挥、信息传递、资源调配等运行顺畅。评估时应检查运营公司规章体系文件，核查调度人员、司乘人员等行车岗位人员在日常运营各场景情况下的协调指挥、信息传递、资源调配是否顺畅。</w:t>
      </w:r>
      <w:bookmarkEnd w:id="106"/>
      <w:bookmarkEnd w:id="107"/>
      <w:bookmarkEnd w:id="108"/>
      <w:bookmarkEnd w:id="109"/>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110" w:name="_Toc29800"/>
      <w:bookmarkStart w:id="111" w:name="_Toc22234"/>
      <w:r>
        <w:rPr>
          <w:rFonts w:hint="eastAsia" w:ascii="宋体" w:hAnsi="宋体" w:eastAsia="宋体" w:cs="宋体"/>
          <w:highlight w:val="none"/>
          <w:lang w:val="en-US" w:eastAsia="zh-CN"/>
        </w:rPr>
        <w:t>运营单位应结合初期运营期间客流变化特征及增长趋势，优化调整列车运行图，合理安排运行交路、列车轮换充电计划和运营服务时间，确保运力满足客流需求。评估时</w:t>
      </w:r>
      <w:r>
        <w:rPr>
          <w:rFonts w:hint="eastAsia" w:ascii="宋体" w:hAnsi="宋体" w:eastAsia="宋体" w:cs="宋体"/>
          <w:highlight w:val="none"/>
          <w:lang w:eastAsia="zh-CN"/>
        </w:rPr>
        <w:t>查阅客流统计数据与列车运行计划，分析核查</w:t>
      </w:r>
      <w:r>
        <w:rPr>
          <w:rFonts w:hint="eastAsia" w:ascii="宋体" w:hAnsi="宋体" w:eastAsia="宋体" w:cs="宋体"/>
          <w:highlight w:val="none"/>
          <w:lang w:val="en-US" w:eastAsia="zh-CN"/>
        </w:rPr>
        <w:t>内容如下：</w:t>
      </w:r>
      <w:bookmarkEnd w:id="104"/>
      <w:bookmarkEnd w:id="105"/>
      <w:bookmarkEnd w:id="110"/>
      <w:bookmarkEnd w:id="111"/>
    </w:p>
    <w:p>
      <w:pPr>
        <w:keepNext w:val="0"/>
        <w:keepLines w:val="0"/>
        <w:pageBreakBefore w:val="0"/>
        <w:widowControl w:val="0"/>
        <w:numPr>
          <w:ilvl w:val="4"/>
          <w:numId w:val="3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查阅运营单位计算的客运强度、列车运能等运行指标，分析列车实际运行能力与客流的匹配情况，核查最大运力是否满足运量需求；</w:t>
      </w:r>
    </w:p>
    <w:p>
      <w:pPr>
        <w:keepNext w:val="0"/>
        <w:keepLines w:val="0"/>
        <w:pageBreakBefore w:val="0"/>
        <w:widowControl w:val="0"/>
        <w:numPr>
          <w:ilvl w:val="4"/>
          <w:numId w:val="3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结合客流特征，分析核查运营服务时间、首末车时间、运行计划、列车轮换充电计划、行车间隔等列车运行计划参数的设定合理性。</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112" w:name="_Toc20381"/>
      <w:bookmarkStart w:id="113" w:name="_Toc5347"/>
      <w:bookmarkStart w:id="114" w:name="_Toc5667"/>
      <w:bookmarkStart w:id="115" w:name="_Toc18107"/>
      <w:r>
        <w:rPr>
          <w:rFonts w:hint="eastAsia" w:ascii="宋体" w:hAnsi="宋体" w:eastAsia="宋体" w:cs="宋体"/>
          <w:highlight w:val="none"/>
          <w:lang w:val="en-US" w:eastAsia="zh-CN"/>
        </w:rPr>
        <w:t>行车调度应落实运营单位调度命令的发布、执行规定，调度命令的内容和传达应准确、简明、规范。评估内容如下：</w:t>
      </w:r>
      <w:bookmarkEnd w:id="112"/>
      <w:bookmarkEnd w:id="113"/>
      <w:bookmarkEnd w:id="114"/>
      <w:bookmarkEnd w:id="115"/>
    </w:p>
    <w:p>
      <w:pPr>
        <w:keepNext w:val="0"/>
        <w:keepLines w:val="0"/>
        <w:pageBreakBefore w:val="0"/>
        <w:widowControl w:val="0"/>
        <w:numPr>
          <w:ilvl w:val="4"/>
          <w:numId w:val="3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现场核查调度命令发布情况，发布调度命令应使用标准用语、简明扼要，采用应答复诵制，严格按“一事一令”要求执行，行车调度命令只能由行车调度人员发布，行车相关岗位人员必须严格执行调度命令</w:t>
      </w:r>
      <w:r>
        <w:rPr>
          <w:rFonts w:hint="eastAsia" w:ascii="宋体" w:hAnsi="宋体" w:cs="Times New Roman"/>
          <w:highlight w:val="none"/>
          <w:lang w:val="en-US" w:eastAsia="zh-CN"/>
        </w:rPr>
        <w:t>；</w:t>
      </w:r>
    </w:p>
    <w:p>
      <w:pPr>
        <w:keepNext w:val="0"/>
        <w:keepLines w:val="0"/>
        <w:pageBreakBefore w:val="0"/>
        <w:widowControl w:val="0"/>
        <w:numPr>
          <w:ilvl w:val="4"/>
          <w:numId w:val="3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检查调度命令记录，记录至少保存1年。</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16" w:name="_Toc8871"/>
      <w:bookmarkStart w:id="117" w:name="_Toc123"/>
      <w:bookmarkStart w:id="118" w:name="_Toc27099"/>
      <w:bookmarkStart w:id="119" w:name="_Toc5008"/>
      <w:r>
        <w:rPr>
          <w:rFonts w:hint="eastAsia" w:ascii="宋体" w:hAnsi="宋体" w:eastAsia="宋体" w:cs="宋体"/>
          <w:highlight w:val="none"/>
          <w:lang w:val="en-US" w:eastAsia="zh-CN"/>
        </w:rPr>
        <w:t>运营单位应落实正常行车组织方案，遵守运营前准备、运营过程中和运营结束的各项行车安全要求。评估时应检查</w:t>
      </w:r>
      <w:r>
        <w:rPr>
          <w:rFonts w:hint="eastAsia" w:ascii="宋体" w:hAnsi="宋体" w:eastAsia="宋体" w:cs="宋体"/>
          <w:highlight w:val="none"/>
        </w:rPr>
        <w:t>相关岗位操作规程</w:t>
      </w:r>
      <w:r>
        <w:rPr>
          <w:rFonts w:hint="eastAsia" w:ascii="宋体" w:hAnsi="宋体" w:eastAsia="宋体" w:cs="宋体"/>
          <w:highlight w:val="none"/>
          <w:lang w:val="en-US" w:eastAsia="zh-CN"/>
        </w:rPr>
        <w:t>中</w:t>
      </w:r>
      <w:r>
        <w:rPr>
          <w:rFonts w:hint="eastAsia" w:ascii="宋体" w:hAnsi="宋体" w:eastAsia="宋体" w:cs="宋体"/>
          <w:highlight w:val="none"/>
        </w:rPr>
        <w:t>针对运营前准备、运营过程中、运营结束等正常行车作业</w:t>
      </w:r>
      <w:r>
        <w:rPr>
          <w:rFonts w:hint="eastAsia" w:ascii="宋体" w:hAnsi="宋体" w:eastAsia="宋体" w:cs="宋体"/>
          <w:highlight w:val="none"/>
          <w:lang w:val="en-US" w:eastAsia="zh-CN"/>
        </w:rPr>
        <w:t>的</w:t>
      </w:r>
      <w:r>
        <w:rPr>
          <w:rFonts w:hint="eastAsia" w:ascii="宋体" w:hAnsi="宋体" w:eastAsia="宋体" w:cs="宋体"/>
          <w:highlight w:val="none"/>
        </w:rPr>
        <w:t>风险管控措施</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核查是否满足</w:t>
      </w:r>
      <w:r>
        <w:rPr>
          <w:rFonts w:hint="eastAsia" w:ascii="宋体" w:hAnsi="宋体" w:eastAsia="宋体" w:cs="宋体"/>
          <w:highlight w:val="none"/>
        </w:rPr>
        <w:t>下列要求：</w:t>
      </w:r>
      <w:bookmarkEnd w:id="116"/>
      <w:bookmarkEnd w:id="117"/>
      <w:bookmarkEnd w:id="118"/>
      <w:bookmarkEnd w:id="119"/>
    </w:p>
    <w:p>
      <w:pPr>
        <w:keepNext w:val="0"/>
        <w:keepLines w:val="0"/>
        <w:pageBreakBefore w:val="0"/>
        <w:widowControl w:val="0"/>
        <w:numPr>
          <w:ilvl w:val="4"/>
          <w:numId w:val="4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运营前：</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运营上岗前司乘</w:t>
      </w:r>
      <w:r>
        <w:rPr>
          <w:rFonts w:hint="eastAsia" w:ascii="宋体" w:hAnsi="宋体" w:eastAsia="宋体" w:cs="宋体"/>
          <w:highlight w:val="none"/>
          <w:lang w:val="en-US" w:eastAsia="zh-CN"/>
        </w:rPr>
        <w:t>核查是否满足</w:t>
      </w:r>
      <w:r>
        <w:rPr>
          <w:rFonts w:hint="eastAsia" w:ascii="宋体" w:hAnsi="Times New Roman" w:eastAsia="宋体" w:cs="Times New Roman"/>
          <w:highlight w:val="none"/>
        </w:rPr>
        <w:t>人员充分休息，</w:t>
      </w:r>
      <w:r>
        <w:rPr>
          <w:rFonts w:hint="eastAsia" w:ascii="宋体" w:hAnsi="Times New Roman" w:eastAsia="宋体" w:cs="Times New Roman"/>
          <w:highlight w:val="none"/>
          <w:lang w:eastAsia="zh-CN"/>
        </w:rPr>
        <w:t>必要时进行身体状态检测</w:t>
      </w:r>
      <w:r>
        <w:rPr>
          <w:rFonts w:hint="eastAsia" w:ascii="宋体" w:hAnsi="Times New Roman" w:eastAsia="宋体" w:cs="Times New Roman"/>
          <w:highlight w:val="none"/>
        </w:rPr>
        <w:t>；</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运营前组织空驶列车巡道确认线路安全</w:t>
      </w:r>
      <w:r>
        <w:rPr>
          <w:rFonts w:hint="eastAsia" w:ascii="宋体" w:hAnsi="Times New Roman" w:eastAsia="宋体" w:cs="Times New Roman"/>
          <w:highlight w:val="none"/>
          <w:lang w:eastAsia="zh-CN"/>
        </w:rPr>
        <w:t>，</w:t>
      </w:r>
      <w:r>
        <w:rPr>
          <w:rFonts w:hint="eastAsia" w:ascii="宋体" w:hAnsi="Times New Roman" w:eastAsia="宋体" w:cs="Times New Roman"/>
          <w:highlight w:val="none"/>
        </w:rPr>
        <w:t>巡道车应采用人工驾驶模式按规定限速运行</w:t>
      </w:r>
      <w:r>
        <w:rPr>
          <w:rFonts w:hint="eastAsia" w:ascii="宋体" w:hAnsi="Times New Roman" w:eastAsia="宋体" w:cs="Times New Roman"/>
          <w:highlight w:val="none"/>
          <w:lang w:eastAsia="zh-CN"/>
        </w:rPr>
        <w:t>；</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调度人员对</w:t>
      </w:r>
      <w:r>
        <w:rPr>
          <w:rFonts w:hint="eastAsia" w:ascii="宋体" w:hAnsi="Times New Roman" w:eastAsia="宋体" w:cs="Times New Roman"/>
          <w:highlight w:val="none"/>
          <w:lang w:eastAsia="zh-CN"/>
        </w:rPr>
        <w:t>相关设备设施进行状态核验，确保满足运营基本条件。</w:t>
      </w:r>
    </w:p>
    <w:p>
      <w:pPr>
        <w:keepNext w:val="0"/>
        <w:keepLines w:val="0"/>
        <w:pageBreakBefore w:val="0"/>
        <w:widowControl w:val="0"/>
        <w:numPr>
          <w:ilvl w:val="4"/>
          <w:numId w:val="4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运营过程中：</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调度人员应时刻关注</w:t>
      </w:r>
      <w:r>
        <w:rPr>
          <w:rFonts w:hint="eastAsia" w:ascii="宋体" w:hAnsi="Times New Roman" w:eastAsia="宋体" w:cs="Times New Roman"/>
          <w:highlight w:val="none"/>
          <w:lang w:eastAsia="zh-CN"/>
        </w:rPr>
        <w:t>调度</w:t>
      </w:r>
      <w:r>
        <w:rPr>
          <w:rFonts w:hint="eastAsia" w:ascii="宋体" w:hAnsi="Times New Roman" w:eastAsia="宋体" w:cs="Times New Roman"/>
          <w:highlight w:val="none"/>
        </w:rPr>
        <w:t>工作站的列车运行情况、告警信息、设备状态等信息，并通过监控系统辅助进行确认，如发生紧急情况立即进行处理；</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司乘人员在车站发现危及行车安全的突发情况</w:t>
      </w:r>
      <w:r>
        <w:rPr>
          <w:rFonts w:hint="eastAsia" w:ascii="宋体" w:hAnsi="Times New Roman" w:eastAsia="宋体" w:cs="Times New Roman"/>
          <w:highlight w:val="none"/>
          <w:lang w:eastAsia="zh-CN"/>
        </w:rPr>
        <w:t>时</w:t>
      </w:r>
      <w:r>
        <w:rPr>
          <w:rFonts w:hint="eastAsia" w:ascii="宋体" w:hAnsi="Times New Roman" w:eastAsia="宋体" w:cs="Times New Roman"/>
          <w:highlight w:val="none"/>
        </w:rPr>
        <w:t>，立即按压站台列车紧急停车按钮</w:t>
      </w:r>
      <w:r>
        <w:rPr>
          <w:rFonts w:hint="eastAsia" w:ascii="宋体" w:hAnsi="Times New Roman" w:eastAsia="宋体" w:cs="Times New Roman"/>
          <w:highlight w:val="none"/>
          <w:lang w:eastAsia="zh-CN"/>
        </w:rPr>
        <w:t>。</w:t>
      </w:r>
    </w:p>
    <w:p>
      <w:pPr>
        <w:keepNext w:val="0"/>
        <w:keepLines w:val="0"/>
        <w:pageBreakBefore w:val="0"/>
        <w:widowControl w:val="0"/>
        <w:numPr>
          <w:ilvl w:val="4"/>
          <w:numId w:val="4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运营结束：</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列车清客完毕后，确认无乘客</w:t>
      </w:r>
      <w:r>
        <w:rPr>
          <w:rFonts w:hint="eastAsia" w:ascii="宋体" w:hAnsi="Times New Roman" w:eastAsia="宋体" w:cs="Times New Roman"/>
          <w:highlight w:val="none"/>
          <w:lang w:val="en-US" w:eastAsia="zh-CN"/>
        </w:rPr>
        <w:t>滞</w:t>
      </w:r>
      <w:r>
        <w:rPr>
          <w:rFonts w:hint="eastAsia" w:ascii="宋体" w:hAnsi="Times New Roman" w:eastAsia="宋体" w:cs="Times New Roman"/>
          <w:highlight w:val="none"/>
        </w:rPr>
        <w:t>留，方可组织</w:t>
      </w:r>
      <w:r>
        <w:rPr>
          <w:rFonts w:hint="eastAsia" w:ascii="宋体" w:hAnsi="Times New Roman" w:eastAsia="宋体" w:cs="Times New Roman"/>
          <w:highlight w:val="none"/>
          <w:lang w:eastAsia="zh-CN"/>
        </w:rPr>
        <w:t>运行</w:t>
      </w:r>
      <w:r>
        <w:rPr>
          <w:rFonts w:hint="eastAsia" w:ascii="宋体" w:hAnsi="Times New Roman" w:eastAsia="宋体" w:cs="Times New Roman"/>
          <w:highlight w:val="none"/>
        </w:rPr>
        <w:t>回综合车场；</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运营结束后，司乘人员或调度人员应进行关站前检查，及时关闭客运服务设备，封闭式车站应确认车站无乘客滞留后及时关闭出入口；</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列车返回综合车场后，</w:t>
      </w:r>
      <w:r>
        <w:rPr>
          <w:rFonts w:hint="eastAsia" w:ascii="宋体" w:hAnsi="Times New Roman" w:eastAsia="宋体" w:cs="Times New Roman"/>
          <w:highlight w:val="none"/>
          <w:lang w:eastAsia="zh-CN"/>
        </w:rPr>
        <w:t>按运营计划</w:t>
      </w:r>
      <w:r>
        <w:rPr>
          <w:rFonts w:hint="eastAsia" w:ascii="宋体" w:hAnsi="Times New Roman" w:eastAsia="宋体" w:cs="Times New Roman"/>
          <w:highlight w:val="none"/>
        </w:rPr>
        <w:t>组织对列车进行休眠、充电、清洁、检修等工作。</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20" w:name="_Toc10156"/>
      <w:bookmarkStart w:id="121" w:name="_Toc9032"/>
      <w:bookmarkStart w:id="122" w:name="_Toc2483"/>
      <w:bookmarkStart w:id="123" w:name="_Toc17898"/>
      <w:r>
        <w:rPr>
          <w:rFonts w:hint="eastAsia" w:ascii="宋体" w:hAnsi="宋体" w:eastAsia="宋体" w:cs="宋体"/>
          <w:highlight w:val="none"/>
          <w:lang w:val="en-US" w:eastAsia="zh-CN"/>
        </w:rPr>
        <w:t>运营单位应落实非正常行车组织方案，严格执行设备故障、列车续航不足、道岔故障、</w:t>
      </w:r>
      <w:r>
        <w:rPr>
          <w:rFonts w:hint="eastAsia" w:ascii="宋体" w:hAnsi="宋体" w:eastAsia="宋体" w:cs="宋体"/>
          <w:highlight w:val="none"/>
        </w:rPr>
        <w:t>站台门故障</w:t>
      </w:r>
      <w:r>
        <w:rPr>
          <w:rFonts w:hint="eastAsia" w:ascii="宋体" w:hAnsi="宋体" w:eastAsia="宋体" w:cs="宋体"/>
          <w:highlight w:val="none"/>
          <w:lang w:eastAsia="zh-CN"/>
        </w:rPr>
        <w:t>或者夹人</w:t>
      </w:r>
      <w:r>
        <w:rPr>
          <w:rFonts w:hint="eastAsia" w:ascii="宋体" w:hAnsi="宋体" w:eastAsia="宋体" w:cs="宋体"/>
          <w:highlight w:val="none"/>
          <w:lang w:val="en-US" w:eastAsia="zh-CN"/>
        </w:rPr>
        <w:t>/</w:t>
      </w:r>
      <w:r>
        <w:rPr>
          <w:rFonts w:hint="eastAsia" w:ascii="宋体" w:hAnsi="宋体" w:eastAsia="宋体" w:cs="宋体"/>
          <w:highlight w:val="none"/>
          <w:lang w:eastAsia="zh-CN"/>
        </w:rPr>
        <w:t>夹物时、</w:t>
      </w:r>
      <w:r>
        <w:rPr>
          <w:rFonts w:hint="eastAsia" w:ascii="宋体" w:hAnsi="宋体" w:eastAsia="宋体" w:cs="宋体"/>
          <w:highlight w:val="none"/>
        </w:rPr>
        <w:t>车辆ATP防护故障</w:t>
      </w:r>
      <w:r>
        <w:rPr>
          <w:rFonts w:hint="eastAsia" w:ascii="宋体" w:hAnsi="宋体" w:eastAsia="宋体" w:cs="宋体"/>
          <w:highlight w:val="none"/>
          <w:lang w:eastAsia="zh-CN"/>
        </w:rPr>
        <w:t>、</w:t>
      </w:r>
      <w:r>
        <w:rPr>
          <w:rFonts w:hint="eastAsia" w:ascii="宋体" w:hAnsi="宋体" w:eastAsia="宋体" w:cs="宋体"/>
          <w:highlight w:val="none"/>
          <w:lang w:val="en-US" w:eastAsia="zh-CN"/>
        </w:rPr>
        <w:t>车辆故障救援等情况下的各项行车安全要求。评估时应检查相关岗位操作规程，核查是否满足下列要求：</w:t>
      </w:r>
      <w:bookmarkEnd w:id="120"/>
      <w:bookmarkEnd w:id="121"/>
      <w:bookmarkEnd w:id="122"/>
      <w:bookmarkEnd w:id="123"/>
    </w:p>
    <w:p>
      <w:pPr>
        <w:keepNext w:val="0"/>
        <w:keepLines w:val="0"/>
        <w:pageBreakBefore w:val="0"/>
        <w:widowControl w:val="0"/>
        <w:numPr>
          <w:ilvl w:val="4"/>
          <w:numId w:val="4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设备故障或列车续航不足可能导致行车事故风险的，行车调度员应及时采取安全防护措施保证影响区域行车安全，及时组织设备抢修或者列车轮换充电，根据列车续航电量及设备故障预计修复时间调整运营计划，最大程度维持运营服务并确保行车安全；</w:t>
      </w:r>
    </w:p>
    <w:p>
      <w:pPr>
        <w:keepNext w:val="0"/>
        <w:keepLines w:val="0"/>
        <w:pageBreakBefore w:val="0"/>
        <w:widowControl w:val="0"/>
        <w:numPr>
          <w:ilvl w:val="4"/>
          <w:numId w:val="4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道岔故障时，应结合故障情况，按先通后复原则进行行车组织及抢修；</w:t>
      </w:r>
    </w:p>
    <w:p>
      <w:pPr>
        <w:keepNext w:val="0"/>
        <w:keepLines w:val="0"/>
        <w:pageBreakBefore w:val="0"/>
        <w:widowControl w:val="0"/>
        <w:numPr>
          <w:ilvl w:val="4"/>
          <w:numId w:val="4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站台门故障或夹人/夹物时，应及时扣停列车，并转为就地控制模式，确保现场安全后方可恢复行车；</w:t>
      </w:r>
    </w:p>
    <w:p>
      <w:pPr>
        <w:keepNext w:val="0"/>
        <w:keepLines w:val="0"/>
        <w:pageBreakBefore w:val="0"/>
        <w:widowControl w:val="0"/>
        <w:numPr>
          <w:ilvl w:val="4"/>
          <w:numId w:val="4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车辆ATP安全防护装置发生故障无法满足运营要求时，应组织列车在就近车站清客后退出服务，且应与前方列车保持至少间隔一个区间并限速运行；</w:t>
      </w:r>
    </w:p>
    <w:p>
      <w:pPr>
        <w:keepNext w:val="0"/>
        <w:keepLines w:val="0"/>
        <w:pageBreakBefore w:val="0"/>
        <w:widowControl w:val="0"/>
        <w:numPr>
          <w:ilvl w:val="4"/>
          <w:numId w:val="4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车辆发生故障无法满足运营要求应及时退出服务，并与前方列车至少保持间隔一个区间并限速运行；</w:t>
      </w:r>
    </w:p>
    <w:p>
      <w:pPr>
        <w:keepNext w:val="0"/>
        <w:keepLines w:val="0"/>
        <w:pageBreakBefore w:val="0"/>
        <w:widowControl w:val="0"/>
        <w:numPr>
          <w:ilvl w:val="4"/>
          <w:numId w:val="4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车辆故障救援时，救援列车应空车与故障列车连挂，故障列车应就近清客。故障列车与救援列车连挂行车时应采取有效限速措施，确保行车安全。</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24" w:name="_Toc25585"/>
      <w:bookmarkStart w:id="125" w:name="_Toc4872"/>
      <w:bookmarkStart w:id="126" w:name="_Toc22851"/>
      <w:bookmarkStart w:id="127" w:name="_Toc17939"/>
      <w:r>
        <w:rPr>
          <w:rFonts w:hint="eastAsia" w:ascii="宋体" w:hAnsi="宋体" w:eastAsia="宋体" w:cs="宋体"/>
          <w:highlight w:val="none"/>
        </w:rPr>
        <w:t>运营单位应落实应急情况下行车组织方案，遵守应急情况下的各项行车安全要求。</w:t>
      </w:r>
      <w:r>
        <w:rPr>
          <w:rFonts w:hint="eastAsia" w:ascii="宋体" w:hAnsi="宋体" w:eastAsia="宋体" w:cs="宋体"/>
          <w:highlight w:val="none"/>
          <w:lang w:val="en-US" w:eastAsia="zh-CN"/>
        </w:rPr>
        <w:t>评估时应检查</w:t>
      </w:r>
      <w:r>
        <w:rPr>
          <w:rFonts w:hint="eastAsia" w:ascii="宋体" w:hAnsi="宋体" w:eastAsia="宋体" w:cs="宋体"/>
          <w:highlight w:val="none"/>
        </w:rPr>
        <w:t>相关岗位规程、应急管理规章制度</w:t>
      </w:r>
      <w:r>
        <w:rPr>
          <w:rFonts w:hint="eastAsia" w:ascii="宋体" w:hAnsi="宋体" w:eastAsia="宋体" w:cs="宋体"/>
          <w:highlight w:val="none"/>
          <w:lang w:val="en-US" w:eastAsia="zh-CN"/>
        </w:rPr>
        <w:t>中</w:t>
      </w:r>
      <w:r>
        <w:rPr>
          <w:rFonts w:hint="eastAsia" w:ascii="宋体" w:hAnsi="宋体" w:eastAsia="宋体" w:cs="宋体"/>
          <w:highlight w:val="none"/>
        </w:rPr>
        <w:t>针对应急情况下的公共卫生、恶劣天气、火灾及行车客运等突发事件</w:t>
      </w:r>
      <w:r>
        <w:rPr>
          <w:rFonts w:hint="eastAsia" w:ascii="宋体" w:hAnsi="宋体" w:eastAsia="宋体" w:cs="宋体"/>
          <w:highlight w:val="none"/>
          <w:lang w:val="en-US" w:eastAsia="zh-CN"/>
        </w:rPr>
        <w:t>的</w:t>
      </w:r>
      <w:r>
        <w:rPr>
          <w:rFonts w:hint="eastAsia" w:ascii="宋体" w:hAnsi="宋体" w:eastAsia="宋体" w:cs="宋体"/>
          <w:highlight w:val="none"/>
        </w:rPr>
        <w:t>应对</w:t>
      </w:r>
      <w:r>
        <w:rPr>
          <w:rFonts w:hint="eastAsia" w:ascii="宋体" w:hAnsi="宋体" w:eastAsia="宋体" w:cs="宋体"/>
          <w:highlight w:val="none"/>
          <w:lang w:val="en-US" w:eastAsia="zh-CN"/>
        </w:rPr>
        <w:t>措施</w:t>
      </w:r>
      <w:r>
        <w:rPr>
          <w:rFonts w:hint="eastAsia" w:ascii="宋体" w:hAnsi="宋体" w:eastAsia="宋体" w:cs="宋体"/>
          <w:highlight w:val="none"/>
        </w:rPr>
        <w:t>，</w:t>
      </w:r>
      <w:r>
        <w:rPr>
          <w:rFonts w:hint="eastAsia" w:ascii="宋体" w:hAnsi="宋体" w:eastAsia="宋体" w:cs="宋体"/>
          <w:highlight w:val="none"/>
          <w:lang w:val="en-US" w:eastAsia="zh-CN"/>
        </w:rPr>
        <w:t>核查是否满足</w:t>
      </w:r>
      <w:r>
        <w:rPr>
          <w:rFonts w:hint="eastAsia" w:ascii="宋体" w:hAnsi="宋体" w:eastAsia="宋体" w:cs="宋体"/>
          <w:highlight w:val="none"/>
        </w:rPr>
        <w:t>下列要求：</w:t>
      </w:r>
      <w:bookmarkEnd w:id="124"/>
      <w:bookmarkEnd w:id="125"/>
      <w:bookmarkEnd w:id="126"/>
      <w:bookmarkEnd w:id="127"/>
    </w:p>
    <w:p>
      <w:pPr>
        <w:keepNext w:val="0"/>
        <w:keepLines w:val="0"/>
        <w:pageBreakBefore w:val="0"/>
        <w:widowControl w:val="0"/>
        <w:numPr>
          <w:ilvl w:val="4"/>
          <w:numId w:val="4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与有关部门进行信息共享，并建立突发事件应急预警机制；</w:t>
      </w:r>
    </w:p>
    <w:p>
      <w:pPr>
        <w:keepNext w:val="0"/>
        <w:keepLines w:val="0"/>
        <w:pageBreakBefore w:val="0"/>
        <w:widowControl w:val="0"/>
        <w:numPr>
          <w:ilvl w:val="4"/>
          <w:numId w:val="4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涉及公共卫生、恐怖袭击等超出运营公司处置范围的事件时，应进行先期处置后，待政府应急抢险队到达后，配合其工作，并服从指挥；</w:t>
      </w:r>
    </w:p>
    <w:p>
      <w:pPr>
        <w:keepNext w:val="0"/>
        <w:keepLines w:val="0"/>
        <w:pageBreakBefore w:val="0"/>
        <w:widowControl w:val="0"/>
        <w:numPr>
          <w:ilvl w:val="4"/>
          <w:numId w:val="4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应急处置时，应第一时间采取有效措施，保证乘客人身、财产安全，并采取瞭望、限速、疏散、救助、封站及停运等措施保证现场安全，降低突发事件影响程度；</w:t>
      </w:r>
    </w:p>
    <w:p>
      <w:pPr>
        <w:keepNext w:val="0"/>
        <w:keepLines w:val="0"/>
        <w:pageBreakBefore w:val="0"/>
        <w:widowControl w:val="0"/>
        <w:numPr>
          <w:ilvl w:val="4"/>
          <w:numId w:val="4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轨行区发生异物侵限或人员非法进入轨行区时，应及时做好防护措施，组织侵限异物或非法进入人员出清轨行区；组织乘客区间疏散时，应告知乘客疏散方向，司乘人员于迫停地点引导疏散；通过异物侵限/人员非法进入/乘客疏散完毕恢复后区域的首列车应限速25 km/h，确认无人员滞留及物品遗留后恢复正常运行。</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28" w:name="_Toc2473"/>
      <w:bookmarkStart w:id="129" w:name="_Toc32753"/>
      <w:bookmarkStart w:id="130" w:name="_Toc27147"/>
      <w:bookmarkStart w:id="131" w:name="_Toc11481"/>
      <w:r>
        <w:rPr>
          <w:rFonts w:hint="eastAsia" w:ascii="宋体" w:hAnsi="宋体" w:eastAsia="宋体" w:cs="宋体"/>
          <w:highlight w:val="none"/>
        </w:rPr>
        <w:t>运营单位应合理安排施工计划</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严格落实</w:t>
      </w:r>
      <w:r>
        <w:rPr>
          <w:rFonts w:hint="eastAsia" w:ascii="宋体" w:hAnsi="宋体" w:eastAsia="宋体" w:cs="宋体"/>
          <w:highlight w:val="none"/>
        </w:rPr>
        <w:t>施工</w:t>
      </w:r>
      <w:r>
        <w:rPr>
          <w:rFonts w:hint="eastAsia" w:ascii="宋体" w:hAnsi="宋体" w:eastAsia="宋体" w:cs="宋体"/>
          <w:highlight w:val="none"/>
          <w:lang w:val="en-US" w:eastAsia="zh-CN"/>
        </w:rPr>
        <w:t>安全管理规定，</w:t>
      </w:r>
      <w:r>
        <w:rPr>
          <w:rFonts w:hint="eastAsia" w:ascii="宋体" w:hAnsi="宋体" w:eastAsia="宋体" w:cs="宋体"/>
          <w:highlight w:val="none"/>
        </w:rPr>
        <w:t>保证施工作业安全。</w:t>
      </w:r>
      <w:r>
        <w:rPr>
          <w:rFonts w:hint="eastAsia" w:ascii="宋体" w:hAnsi="宋体" w:eastAsia="宋体" w:cs="宋体"/>
          <w:highlight w:val="none"/>
          <w:lang w:val="en-US" w:eastAsia="zh-CN"/>
        </w:rPr>
        <w:t>评估时应检查</w:t>
      </w:r>
      <w:r>
        <w:rPr>
          <w:rFonts w:hint="eastAsia" w:ascii="宋体" w:hAnsi="宋体" w:eastAsia="宋体" w:cs="宋体"/>
          <w:highlight w:val="none"/>
        </w:rPr>
        <w:t>相关岗位</w:t>
      </w:r>
      <w:r>
        <w:rPr>
          <w:rFonts w:hint="eastAsia" w:ascii="宋体" w:hAnsi="宋体" w:eastAsia="宋体" w:cs="宋体"/>
          <w:highlight w:val="none"/>
          <w:lang w:val="en-US" w:eastAsia="zh-CN"/>
        </w:rPr>
        <w:t>规章</w:t>
      </w:r>
      <w:r>
        <w:rPr>
          <w:rFonts w:hint="eastAsia" w:ascii="宋体" w:hAnsi="宋体" w:eastAsia="宋体" w:cs="宋体"/>
          <w:highlight w:val="none"/>
        </w:rPr>
        <w:t>制度</w:t>
      </w:r>
      <w:r>
        <w:rPr>
          <w:rFonts w:hint="eastAsia" w:ascii="宋体" w:hAnsi="宋体" w:eastAsia="宋体" w:cs="宋体"/>
          <w:highlight w:val="none"/>
          <w:lang w:eastAsia="zh-CN"/>
        </w:rPr>
        <w:t>中</w:t>
      </w:r>
      <w:r>
        <w:rPr>
          <w:rFonts w:hint="eastAsia" w:ascii="宋体" w:hAnsi="宋体" w:eastAsia="宋体" w:cs="宋体"/>
          <w:highlight w:val="none"/>
        </w:rPr>
        <w:t>针对违规施工可能导致行车事故和人员伤亡的风险</w:t>
      </w:r>
      <w:r>
        <w:rPr>
          <w:rFonts w:hint="eastAsia" w:ascii="宋体" w:hAnsi="宋体" w:eastAsia="宋体" w:cs="宋体"/>
          <w:highlight w:val="none"/>
          <w:lang w:val="en-US" w:eastAsia="zh-CN"/>
        </w:rPr>
        <w:t>管控措施</w:t>
      </w:r>
      <w:r>
        <w:rPr>
          <w:rFonts w:hint="eastAsia" w:ascii="宋体" w:hAnsi="宋体" w:eastAsia="宋体" w:cs="宋体"/>
          <w:highlight w:val="none"/>
        </w:rPr>
        <w:t>，</w:t>
      </w:r>
      <w:r>
        <w:rPr>
          <w:rFonts w:hint="eastAsia" w:ascii="宋体" w:hAnsi="宋体" w:eastAsia="宋体" w:cs="宋体"/>
          <w:highlight w:val="none"/>
          <w:lang w:val="en-US" w:eastAsia="zh-CN"/>
        </w:rPr>
        <w:t>核查是否满足</w:t>
      </w:r>
      <w:r>
        <w:rPr>
          <w:rFonts w:hint="eastAsia" w:ascii="宋体" w:hAnsi="宋体" w:eastAsia="宋体" w:cs="宋体"/>
          <w:highlight w:val="none"/>
        </w:rPr>
        <w:t>下列要求：</w:t>
      </w:r>
      <w:bookmarkEnd w:id="128"/>
      <w:bookmarkEnd w:id="129"/>
      <w:bookmarkEnd w:id="130"/>
      <w:bookmarkEnd w:id="131"/>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非运营时段施工计划不应影响次日运营，非运营时段施工检修时间不宜少于4 h；</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施工计划内容各要素应完整，施工计划审批时应避免施工冲突、安全防护不当等不安全问题发生；</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施工计划应阶段性提前排列并公布，不得随意变更施工计划，动车类施工计划调整应经过调度人员批准，调度人员应提前核实施工计划；</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应严格落实施工请销点制度，核查施工申请单，确认现场施工人员、材料、工器具等与施工计划的一致性；</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施工作业需有专业人员监督，外单位进行有关重点施工作业的，运营单位应安排专业人员旁站监督；施工作业需停电的，应验电确认已停电并做好接地防护措施后，方可开始作业；</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调试列车、工程车上线运行前应确保车辆技术状态及动能续航满足施工作业要求，车辆货物装载必须牢固，并不超出规定的车辆限界；</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调试列车、工程车等车辆作业时，应具有相应的安全防护措施，并合理限速运行；</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施工作业出现施工人员车下与车辆一起作业时，现场施工及动车须统一指挥，人员必须在车辆运行方向后方，至少保持50 m的安全距离，并设置红闪灯等进行安全防护；</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行车类施工计划应与非行车类计划应至少保持一站间或一区间安全间隔；工程车正线运行时应与前方列车保持至少一站一区间的行车间隔；因施工需要缩短安全间隔距离的，应经充分论证并有配套防护措施；</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施工列车往返运行无信号系统进路防护时，应采取封锁区间的方式组织列车在封锁范围内运行；</w:t>
      </w:r>
    </w:p>
    <w:p>
      <w:pPr>
        <w:keepNext w:val="0"/>
        <w:keepLines w:val="0"/>
        <w:pageBreakBefore w:val="0"/>
        <w:widowControl w:val="0"/>
        <w:numPr>
          <w:ilvl w:val="4"/>
          <w:numId w:val="4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施工结束后相关人员应确认人员工器具出清、设备功能恢复正常。</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32" w:name="_Toc8882"/>
      <w:bookmarkStart w:id="133" w:name="_Toc3916"/>
      <w:bookmarkStart w:id="134" w:name="_Toc23608"/>
      <w:bookmarkStart w:id="135" w:name="_Toc5618"/>
      <w:r>
        <w:rPr>
          <w:rFonts w:hint="eastAsia" w:ascii="宋体" w:hAnsi="宋体" w:eastAsia="宋体" w:cs="宋体"/>
          <w:highlight w:val="none"/>
        </w:rPr>
        <w:t>运营单位应根据运营线路配线、车辆配属、车辆续航等实际情况</w:t>
      </w:r>
      <w:r>
        <w:rPr>
          <w:rFonts w:hint="eastAsia" w:ascii="宋体" w:hAnsi="宋体" w:eastAsia="宋体" w:cs="宋体"/>
          <w:highlight w:val="none"/>
          <w:lang w:val="en-US" w:eastAsia="zh-CN"/>
        </w:rPr>
        <w:t>制定车辆充电计划</w:t>
      </w:r>
      <w:r>
        <w:rPr>
          <w:rFonts w:hint="eastAsia" w:ascii="宋体" w:hAnsi="宋体" w:eastAsia="宋体" w:cs="宋体"/>
          <w:highlight w:val="none"/>
        </w:rPr>
        <w:t>，严格落实车辆充电安全管理规定，保证车辆充电作业安全。</w:t>
      </w:r>
      <w:r>
        <w:rPr>
          <w:rFonts w:hint="eastAsia" w:ascii="宋体" w:hAnsi="宋体" w:eastAsia="宋体" w:cs="宋体"/>
          <w:highlight w:val="none"/>
          <w:lang w:val="en-US" w:eastAsia="zh-CN"/>
        </w:rPr>
        <w:t>评估时应检查</w:t>
      </w:r>
      <w:r>
        <w:rPr>
          <w:rFonts w:hint="eastAsia" w:ascii="宋体" w:hAnsi="宋体" w:eastAsia="宋体" w:cs="宋体"/>
          <w:highlight w:val="none"/>
        </w:rPr>
        <w:t>相关岗位操作规程、管理制度</w:t>
      </w:r>
      <w:r>
        <w:rPr>
          <w:rFonts w:hint="eastAsia" w:ascii="宋体" w:hAnsi="宋体" w:eastAsia="宋体" w:cs="宋体"/>
          <w:highlight w:val="none"/>
          <w:lang w:val="en-US" w:eastAsia="zh-CN"/>
        </w:rPr>
        <w:t>中</w:t>
      </w:r>
      <w:r>
        <w:rPr>
          <w:rFonts w:hint="eastAsia" w:ascii="宋体" w:hAnsi="宋体" w:eastAsia="宋体" w:cs="宋体"/>
          <w:highlight w:val="none"/>
        </w:rPr>
        <w:t>针对车辆充电作业可能导致设备事故和人员触电伤亡的风险</w:t>
      </w:r>
      <w:r>
        <w:rPr>
          <w:rFonts w:hint="eastAsia" w:ascii="宋体" w:hAnsi="宋体" w:eastAsia="宋体" w:cs="宋体"/>
          <w:highlight w:val="none"/>
          <w:lang w:val="en-US" w:eastAsia="zh-CN"/>
        </w:rPr>
        <w:t>管控措施</w:t>
      </w:r>
      <w:r>
        <w:rPr>
          <w:rFonts w:hint="eastAsia" w:ascii="宋体" w:hAnsi="宋体" w:eastAsia="宋体" w:cs="宋体"/>
          <w:highlight w:val="none"/>
        </w:rPr>
        <w:t>，</w:t>
      </w:r>
      <w:r>
        <w:rPr>
          <w:rFonts w:hint="eastAsia" w:ascii="宋体" w:hAnsi="宋体" w:eastAsia="宋体" w:cs="宋体"/>
          <w:highlight w:val="none"/>
          <w:lang w:val="en-US" w:eastAsia="zh-CN"/>
        </w:rPr>
        <w:t>核查是否满足</w:t>
      </w:r>
      <w:r>
        <w:rPr>
          <w:rFonts w:hint="eastAsia" w:ascii="宋体" w:hAnsi="宋体" w:eastAsia="宋体" w:cs="宋体"/>
          <w:highlight w:val="none"/>
        </w:rPr>
        <w:t>下列要求：</w:t>
      </w:r>
      <w:bookmarkEnd w:id="132"/>
      <w:bookmarkEnd w:id="133"/>
      <w:bookmarkEnd w:id="134"/>
      <w:bookmarkEnd w:id="135"/>
    </w:p>
    <w:p>
      <w:pPr>
        <w:keepNext w:val="0"/>
        <w:keepLines w:val="0"/>
        <w:pageBreakBefore w:val="0"/>
        <w:widowControl w:val="0"/>
        <w:numPr>
          <w:ilvl w:val="4"/>
          <w:numId w:val="4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车辆自动充电时应监控充电设备运转状态，且无设备故障告警，急停按钮未按下；</w:t>
      </w:r>
    </w:p>
    <w:p>
      <w:pPr>
        <w:keepNext w:val="0"/>
        <w:keepLines w:val="0"/>
        <w:pageBreakBefore w:val="0"/>
        <w:widowControl w:val="0"/>
        <w:numPr>
          <w:ilvl w:val="4"/>
          <w:numId w:val="4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人工充电时应严格按操作规程及安全管理制度执行，人员不得触碰车辆带电设备；</w:t>
      </w:r>
    </w:p>
    <w:p>
      <w:pPr>
        <w:keepNext w:val="0"/>
        <w:keepLines w:val="0"/>
        <w:pageBreakBefore w:val="0"/>
        <w:widowControl w:val="0"/>
        <w:numPr>
          <w:ilvl w:val="4"/>
          <w:numId w:val="4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需要操作充电柜时，操作人员应按规定穿戴绝缘鞋和绝缘手套，谨防触电；</w:t>
      </w:r>
    </w:p>
    <w:p>
      <w:pPr>
        <w:keepNext w:val="0"/>
        <w:keepLines w:val="0"/>
        <w:pageBreakBefore w:val="0"/>
        <w:widowControl w:val="0"/>
        <w:numPr>
          <w:ilvl w:val="4"/>
          <w:numId w:val="4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充电完毕后应检查车辆续航状态，动车前应确认充电装置未侵限，列车符合动车条件。</w:t>
      </w:r>
    </w:p>
    <w:p>
      <w:pPr>
        <w:pStyle w:val="106"/>
        <w:spacing w:before="240" w:after="240"/>
        <w:rPr>
          <w:rFonts w:hint="eastAsia" w:hAnsi="Times New Roman" w:cs="Times New Roman"/>
          <w:lang w:val="en-US" w:eastAsia="zh-CN"/>
        </w:rPr>
      </w:pPr>
      <w:bookmarkStart w:id="136" w:name="_Toc28550"/>
      <w:bookmarkStart w:id="137" w:name="_Toc2313"/>
      <w:bookmarkStart w:id="138" w:name="_Toc18449"/>
      <w:bookmarkStart w:id="139" w:name="_Toc13215"/>
      <w:bookmarkStart w:id="140" w:name="_Toc2429"/>
      <w:r>
        <w:rPr>
          <w:rFonts w:hint="eastAsia" w:hAnsi="Times New Roman" w:cs="Times New Roman"/>
          <w:lang w:val="en-US" w:eastAsia="zh-CN"/>
        </w:rPr>
        <w:t>客运组织</w:t>
      </w:r>
      <w:bookmarkEnd w:id="136"/>
      <w:bookmarkEnd w:id="137"/>
      <w:bookmarkEnd w:id="138"/>
      <w:bookmarkEnd w:id="139"/>
      <w:bookmarkEnd w:id="140"/>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41" w:name="_Toc23514"/>
      <w:bookmarkStart w:id="142" w:name="_Toc17592"/>
      <w:bookmarkStart w:id="143" w:name="_Toc9127"/>
      <w:bookmarkStart w:id="144" w:name="_Toc29010"/>
      <w:bookmarkStart w:id="145" w:name="_Toc31451"/>
      <w:bookmarkStart w:id="146" w:name="_Toc9222"/>
      <w:bookmarkStart w:id="147" w:name="_Toc9833"/>
      <w:bookmarkStart w:id="148" w:name="_Toc21859"/>
      <w:bookmarkStart w:id="149" w:name="_Toc16447"/>
      <w:r>
        <w:rPr>
          <w:rFonts w:hint="eastAsia" w:ascii="宋体" w:hAnsi="宋体" w:eastAsia="宋体" w:cs="宋体"/>
          <w:highlight w:val="none"/>
        </w:rPr>
        <w:t>车站客运组织方案应做到“一站一方案”。</w:t>
      </w:r>
      <w:r>
        <w:rPr>
          <w:rFonts w:hint="eastAsia" w:ascii="宋体" w:hAnsi="宋体" w:eastAsia="宋体" w:cs="宋体"/>
          <w:highlight w:val="none"/>
          <w:lang w:val="en-US" w:eastAsia="zh-CN"/>
        </w:rPr>
        <w:t>运营单位应</w:t>
      </w:r>
      <w:r>
        <w:rPr>
          <w:rFonts w:hint="eastAsia" w:ascii="宋体" w:hAnsi="宋体" w:eastAsia="宋体" w:cs="宋体"/>
          <w:highlight w:val="none"/>
        </w:rPr>
        <w:t>及时对客运组织方案及其实施情况进行评估，并完成客运组织方案修订完善。</w:t>
      </w:r>
      <w:r>
        <w:rPr>
          <w:rFonts w:hint="eastAsia" w:ascii="宋体" w:hAnsi="宋体" w:eastAsia="宋体" w:cs="宋体"/>
          <w:highlight w:val="none"/>
          <w:lang w:eastAsia="zh-CN"/>
        </w:rPr>
        <w:t>客运</w:t>
      </w:r>
      <w:r>
        <w:rPr>
          <w:rFonts w:hint="eastAsia" w:ascii="宋体" w:hAnsi="宋体" w:eastAsia="宋体" w:cs="宋体"/>
          <w:highlight w:val="none"/>
        </w:rPr>
        <w:t>组织方案应符合车站实际情况，并明确车站设备通过能力</w:t>
      </w:r>
      <w:r>
        <w:rPr>
          <w:rFonts w:hint="eastAsia" w:ascii="宋体" w:hAnsi="宋体" w:eastAsia="宋体" w:cs="宋体"/>
          <w:highlight w:val="none"/>
          <w:lang w:eastAsia="zh-CN"/>
        </w:rPr>
        <w:t>与</w:t>
      </w:r>
      <w:r>
        <w:rPr>
          <w:rFonts w:hint="eastAsia" w:ascii="宋体" w:hAnsi="宋体" w:eastAsia="宋体" w:cs="宋体"/>
          <w:highlight w:val="none"/>
        </w:rPr>
        <w:t>容纳能力，换乘站接口衔接管理</w:t>
      </w:r>
      <w:r>
        <w:rPr>
          <w:rFonts w:hint="eastAsia" w:ascii="宋体" w:hAnsi="宋体" w:eastAsia="宋体" w:cs="宋体"/>
          <w:highlight w:val="none"/>
          <w:lang w:eastAsia="zh-CN"/>
        </w:rPr>
        <w:t>，</w:t>
      </w:r>
      <w:r>
        <w:rPr>
          <w:rFonts w:hint="eastAsia" w:ascii="宋体" w:hAnsi="宋体" w:eastAsia="宋体" w:cs="宋体"/>
          <w:highlight w:val="none"/>
        </w:rPr>
        <w:t>易发生对冲区域、客流瓶颈部位等安全风险关键点，</w:t>
      </w:r>
      <w:r>
        <w:rPr>
          <w:rFonts w:hint="eastAsia" w:ascii="宋体" w:hAnsi="宋体" w:eastAsia="宋体" w:cs="宋体"/>
          <w:highlight w:val="none"/>
          <w:lang w:eastAsia="zh-CN"/>
        </w:rPr>
        <w:t>相关岗位</w:t>
      </w:r>
      <w:r>
        <w:rPr>
          <w:rFonts w:hint="eastAsia" w:ascii="宋体" w:hAnsi="宋体" w:eastAsia="宋体" w:cs="宋体"/>
          <w:highlight w:val="none"/>
        </w:rPr>
        <w:t>工作内容和操作要求，应急情况下车站客流疏散流线、信息发布、换乘安全保障等要求</w:t>
      </w:r>
      <w:r>
        <w:rPr>
          <w:rFonts w:hint="eastAsia" w:ascii="宋体" w:hAnsi="宋体" w:eastAsia="宋体" w:cs="宋体"/>
          <w:highlight w:val="none"/>
          <w:lang w:eastAsia="zh-CN"/>
        </w:rPr>
        <w:t>。评估</w:t>
      </w:r>
      <w:r>
        <w:rPr>
          <w:rFonts w:hint="eastAsia" w:ascii="宋体" w:hAnsi="宋体" w:eastAsia="宋体" w:cs="宋体"/>
          <w:highlight w:val="none"/>
          <w:lang w:val="en-US" w:eastAsia="zh-CN"/>
        </w:rPr>
        <w:t>时应</w:t>
      </w:r>
      <w:r>
        <w:rPr>
          <w:rFonts w:hint="eastAsia" w:ascii="宋体" w:hAnsi="宋体" w:eastAsia="宋体" w:cs="宋体"/>
          <w:highlight w:val="none"/>
        </w:rPr>
        <w:t>抽查线路首末车站，以及换乘站、中间站、大客流车站</w:t>
      </w:r>
      <w:r>
        <w:rPr>
          <w:rFonts w:hint="eastAsia" w:ascii="宋体" w:hAnsi="宋体" w:eastAsia="宋体" w:cs="宋体"/>
          <w:highlight w:val="none"/>
          <w:lang w:eastAsia="zh-CN"/>
        </w:rPr>
        <w:t>中至少一座车站</w:t>
      </w:r>
      <w:r>
        <w:rPr>
          <w:rFonts w:hint="eastAsia" w:ascii="宋体" w:hAnsi="宋体" w:eastAsia="宋体" w:cs="宋体"/>
          <w:highlight w:val="none"/>
        </w:rPr>
        <w:t>的客运组织方案、相关评估报告和记录，核查</w:t>
      </w:r>
      <w:r>
        <w:rPr>
          <w:rFonts w:hint="eastAsia" w:ascii="宋体" w:hAnsi="宋体" w:eastAsia="宋体" w:cs="宋体"/>
          <w:highlight w:val="none"/>
          <w:lang w:eastAsia="zh-CN"/>
        </w:rPr>
        <w:t>评估内容</w:t>
      </w:r>
      <w:r>
        <w:rPr>
          <w:rFonts w:hint="eastAsia" w:ascii="宋体" w:hAnsi="宋体" w:eastAsia="宋体" w:cs="宋体"/>
          <w:highlight w:val="none"/>
        </w:rPr>
        <w:t>已落实到客运组织工作</w:t>
      </w:r>
      <w:r>
        <w:rPr>
          <w:rFonts w:hint="eastAsia" w:ascii="宋体" w:hAnsi="宋体" w:eastAsia="宋体" w:cs="宋体"/>
          <w:highlight w:val="none"/>
          <w:lang w:eastAsia="zh-CN"/>
        </w:rPr>
        <w:t>。</w:t>
      </w:r>
      <w:bookmarkEnd w:id="141"/>
      <w:bookmarkEnd w:id="142"/>
      <w:bookmarkEnd w:id="143"/>
      <w:bookmarkEnd w:id="144"/>
    </w:p>
    <w:bookmarkEnd w:id="145"/>
    <w:bookmarkEnd w:id="146"/>
    <w:bookmarkEnd w:id="147"/>
    <w:bookmarkEnd w:id="148"/>
    <w:bookmarkEnd w:id="149"/>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50" w:name="_Toc19895"/>
      <w:bookmarkStart w:id="151" w:name="_Toc26771"/>
      <w:bookmarkStart w:id="152" w:name="_Toc8133"/>
      <w:bookmarkStart w:id="153" w:name="_Toc7822"/>
      <w:bookmarkStart w:id="154" w:name="_Toc24178"/>
      <w:bookmarkStart w:id="155" w:name="_Toc18558"/>
      <w:bookmarkStart w:id="156" w:name="_Toc32738"/>
      <w:bookmarkStart w:id="157" w:name="_Toc7231"/>
      <w:bookmarkStart w:id="158" w:name="_Toc31755"/>
      <w:r>
        <w:rPr>
          <w:rFonts w:hint="eastAsia" w:ascii="宋体" w:hAnsi="宋体" w:eastAsia="宋体" w:cs="宋体"/>
          <w:highlight w:val="none"/>
        </w:rPr>
        <w:t>运营单位应建立客流监测机制，明确大客流控制预警值、管控措施启动及解除条件，并进行客流资料的汇总分析工作，保证大客流管控应对有效</w:t>
      </w:r>
      <w:r>
        <w:rPr>
          <w:rFonts w:hint="eastAsia" w:ascii="宋体" w:hAnsi="宋体" w:eastAsia="宋体" w:cs="宋体"/>
          <w:highlight w:val="none"/>
          <w:lang w:eastAsia="zh-CN"/>
        </w:rPr>
        <w:t>。评估时应抽查高峰时段的至少</w:t>
      </w:r>
      <w:r>
        <w:rPr>
          <w:rFonts w:hint="eastAsia" w:ascii="宋体" w:hAnsi="宋体" w:eastAsia="宋体" w:cs="宋体"/>
          <w:highlight w:val="none"/>
          <w:lang w:val="en-US" w:eastAsia="zh-CN"/>
        </w:rPr>
        <w:t>1座大客流车站进行现场查勘、抽查车站大客流组织方案，核查是否满足下列要求：</w:t>
      </w:r>
      <w:bookmarkEnd w:id="150"/>
      <w:bookmarkEnd w:id="151"/>
      <w:bookmarkEnd w:id="152"/>
      <w:bookmarkEnd w:id="153"/>
    </w:p>
    <w:p>
      <w:pPr>
        <w:keepNext w:val="0"/>
        <w:keepLines w:val="0"/>
        <w:pageBreakBefore w:val="0"/>
        <w:widowControl w:val="0"/>
        <w:numPr>
          <w:ilvl w:val="4"/>
          <w:numId w:val="4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运营单位应掌握车站容纳能力、客流峰值等基础客流数据，了解不同时期、不同季节、不同时间车站客流变化趋势；</w:t>
      </w:r>
    </w:p>
    <w:p>
      <w:pPr>
        <w:keepNext w:val="0"/>
        <w:keepLines w:val="0"/>
        <w:pageBreakBefore w:val="0"/>
        <w:widowControl w:val="0"/>
        <w:numPr>
          <w:ilvl w:val="4"/>
          <w:numId w:val="4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可能发生大客流时，运营单位应按预案要求及时进行客流疏导；大客流可能影响运营安全时，运营单位可以采取限流、封站、甩站等措施，并及时告知公众，封站、暂停运营的还应向城市轨道交通运营主管部门报告；</w:t>
      </w:r>
    </w:p>
    <w:p>
      <w:pPr>
        <w:keepNext w:val="0"/>
        <w:keepLines w:val="0"/>
        <w:pageBreakBefore w:val="0"/>
        <w:widowControl w:val="0"/>
        <w:numPr>
          <w:ilvl w:val="4"/>
          <w:numId w:val="4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当线路客流发生较大变化，出入口新开通或长时间关闭、新换乘通道投用、枢纽站衔接、公共区域受施工封闭等情况下客流流线有较大调整时，车站客流组织方案中的整体客流流线、人员疏散应经过评估论证。</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rPr>
      </w:pPr>
      <w:bookmarkStart w:id="159" w:name="_Toc5030"/>
      <w:bookmarkStart w:id="160" w:name="_Toc31246"/>
      <w:bookmarkStart w:id="161" w:name="_Toc22155"/>
      <w:bookmarkStart w:id="162" w:name="_Toc826"/>
      <w:r>
        <w:rPr>
          <w:rFonts w:hint="eastAsia" w:ascii="宋体" w:hAnsi="宋体" w:eastAsia="宋体" w:cs="宋体"/>
          <w:highlight w:val="none"/>
          <w:lang w:eastAsia="zh-CN"/>
        </w:rPr>
        <w:t>运营单位</w:t>
      </w:r>
      <w:r>
        <w:rPr>
          <w:rFonts w:hint="eastAsia" w:ascii="宋体" w:hAnsi="宋体" w:eastAsia="宋体" w:cs="宋体"/>
          <w:highlight w:val="none"/>
        </w:rPr>
        <w:t>应按规定对车站出入口、</w:t>
      </w:r>
      <w:r>
        <w:rPr>
          <w:rFonts w:hint="eastAsia" w:ascii="宋体" w:hAnsi="宋体" w:eastAsia="宋体" w:cs="宋体"/>
          <w:highlight w:val="none"/>
          <w:lang w:val="en-US" w:eastAsia="zh-CN"/>
        </w:rPr>
        <w:t>消防安全</w:t>
      </w:r>
      <w:r>
        <w:rPr>
          <w:rFonts w:hint="eastAsia" w:ascii="宋体" w:hAnsi="宋体" w:eastAsia="宋体" w:cs="宋体"/>
          <w:highlight w:val="none"/>
        </w:rPr>
        <w:t>通道等重要地带进行</w:t>
      </w:r>
      <w:r>
        <w:rPr>
          <w:rFonts w:hint="eastAsia" w:ascii="宋体" w:hAnsi="宋体" w:eastAsia="宋体" w:cs="宋体"/>
          <w:highlight w:val="none"/>
          <w:lang w:eastAsia="zh-CN"/>
        </w:rPr>
        <w:t>巡查</w:t>
      </w:r>
      <w:r>
        <w:rPr>
          <w:rFonts w:hint="eastAsia" w:ascii="宋体" w:hAnsi="宋体" w:eastAsia="宋体" w:cs="宋体"/>
          <w:highlight w:val="none"/>
        </w:rPr>
        <w:t>，及时处理</w:t>
      </w:r>
      <w:r>
        <w:rPr>
          <w:rFonts w:hint="eastAsia" w:ascii="宋体" w:hAnsi="宋体" w:eastAsia="宋体" w:cs="宋体"/>
          <w:highlight w:val="none"/>
          <w:lang w:eastAsia="zh-CN"/>
        </w:rPr>
        <w:t>与记录</w:t>
      </w:r>
      <w:r>
        <w:rPr>
          <w:rFonts w:hint="eastAsia" w:ascii="宋体" w:hAnsi="宋体" w:eastAsia="宋体" w:cs="宋体"/>
          <w:highlight w:val="none"/>
        </w:rPr>
        <w:t>异常情况。</w:t>
      </w:r>
      <w:r>
        <w:rPr>
          <w:rFonts w:hint="eastAsia" w:ascii="宋体" w:hAnsi="宋体" w:eastAsia="宋体" w:cs="宋体"/>
          <w:highlight w:val="none"/>
          <w:lang w:eastAsia="zh-CN"/>
        </w:rPr>
        <w:t>车站巡视可以采用现场巡视或通过综合监控系统远程巡视的方式进行。</w:t>
      </w:r>
      <w:r>
        <w:rPr>
          <w:rFonts w:hint="eastAsia" w:ascii="宋体" w:hAnsi="宋体" w:eastAsia="宋体" w:cs="宋体"/>
          <w:highlight w:val="none"/>
          <w:lang w:val="en-US" w:eastAsia="zh-CN"/>
        </w:rPr>
        <w:t>评估时应</w:t>
      </w:r>
      <w:r>
        <w:rPr>
          <w:rFonts w:hint="eastAsia" w:ascii="宋体" w:hAnsi="宋体" w:eastAsia="宋体" w:cs="宋体"/>
          <w:highlight w:val="none"/>
          <w:lang w:eastAsia="zh-CN"/>
        </w:rPr>
        <w:t>抽取不少于2座车站巡视记录，查阅客运服务设施设备故障报修记录，核查</w:t>
      </w:r>
      <w:r>
        <w:rPr>
          <w:rFonts w:hint="eastAsia" w:ascii="宋体" w:hAnsi="宋体" w:eastAsia="宋体" w:cs="宋体"/>
          <w:highlight w:val="none"/>
          <w:lang w:val="en-US" w:eastAsia="zh-CN"/>
        </w:rPr>
        <w:t>是否满足下列要求</w:t>
      </w:r>
      <w:r>
        <w:rPr>
          <w:rFonts w:hint="eastAsia" w:ascii="宋体" w:hAnsi="宋体" w:eastAsia="宋体" w:cs="宋体"/>
          <w:highlight w:val="none"/>
          <w:lang w:eastAsia="zh-CN"/>
        </w:rPr>
        <w:t>：</w:t>
      </w:r>
      <w:bookmarkEnd w:id="159"/>
      <w:bookmarkEnd w:id="160"/>
      <w:bookmarkEnd w:id="161"/>
      <w:bookmarkEnd w:id="162"/>
    </w:p>
    <w:p>
      <w:pPr>
        <w:keepNext w:val="0"/>
        <w:keepLines w:val="0"/>
        <w:pageBreakBefore w:val="0"/>
        <w:widowControl w:val="0"/>
        <w:numPr>
          <w:ilvl w:val="4"/>
          <w:numId w:val="4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每座车站巡视频率不应低于每3小时一次；</w:t>
      </w:r>
    </w:p>
    <w:p>
      <w:pPr>
        <w:keepNext w:val="0"/>
        <w:keepLines w:val="0"/>
        <w:pageBreakBefore w:val="0"/>
        <w:widowControl w:val="0"/>
        <w:numPr>
          <w:ilvl w:val="4"/>
          <w:numId w:val="4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巡查范围应包含车站重要管控区域；</w:t>
      </w:r>
    </w:p>
    <w:p>
      <w:pPr>
        <w:keepNext w:val="0"/>
        <w:keepLines w:val="0"/>
        <w:pageBreakBefore w:val="0"/>
        <w:widowControl w:val="0"/>
        <w:numPr>
          <w:ilvl w:val="4"/>
          <w:numId w:val="4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巡查内容包括车站各客运设施设备运行状态，出入口、通道等畅通情况，以及乘客不安全行为、车站卫生环境状况等，发现异常情况时应及时处理。</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eastAsia="zh-CN"/>
        </w:rPr>
      </w:pPr>
      <w:bookmarkStart w:id="163" w:name="_Toc9199"/>
      <w:bookmarkStart w:id="164" w:name="_Toc32636"/>
      <w:bookmarkStart w:id="165" w:name="_Toc9038"/>
      <w:bookmarkStart w:id="166" w:name="_Toc32002"/>
      <w:r>
        <w:rPr>
          <w:rFonts w:hint="eastAsia" w:ascii="宋体" w:hAnsi="宋体" w:eastAsia="宋体" w:cs="宋体"/>
          <w:highlight w:val="none"/>
          <w:lang w:eastAsia="zh-CN"/>
        </w:rPr>
        <w:t>运营单位应保证导向标识、电梯、站台门、自动售检票机等车站客运服务相关设施设备的完好与有效性，做好客运组织与服务管理工作。</w:t>
      </w:r>
      <w:r>
        <w:rPr>
          <w:rFonts w:hint="eastAsia" w:ascii="宋体" w:hAnsi="宋体" w:eastAsia="宋体" w:cs="宋体"/>
          <w:highlight w:val="none"/>
          <w:lang w:val="en-US" w:eastAsia="zh-CN"/>
        </w:rPr>
        <w:t>评估时应检查</w:t>
      </w:r>
      <w:r>
        <w:rPr>
          <w:rFonts w:hint="eastAsia" w:ascii="宋体" w:hAnsi="宋体" w:eastAsia="宋体" w:cs="宋体"/>
          <w:highlight w:val="none"/>
        </w:rPr>
        <w:t>安全检查、标志标识管理</w:t>
      </w:r>
      <w:r>
        <w:rPr>
          <w:rFonts w:hint="eastAsia" w:ascii="宋体" w:hAnsi="宋体" w:eastAsia="宋体" w:cs="宋体"/>
          <w:highlight w:val="none"/>
          <w:lang w:eastAsia="zh-CN"/>
        </w:rPr>
        <w:t>、乘客投诉受理</w:t>
      </w:r>
      <w:r>
        <w:rPr>
          <w:rFonts w:hint="eastAsia" w:ascii="宋体" w:hAnsi="宋体" w:eastAsia="宋体" w:cs="宋体"/>
          <w:highlight w:val="none"/>
        </w:rPr>
        <w:t>等制度</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核查是否</w:t>
      </w:r>
      <w:r>
        <w:rPr>
          <w:rFonts w:hint="eastAsia" w:ascii="宋体" w:hAnsi="宋体" w:eastAsia="宋体" w:cs="宋体"/>
          <w:highlight w:val="none"/>
          <w:lang w:eastAsia="zh-CN"/>
        </w:rPr>
        <w:t>满足</w:t>
      </w:r>
      <w:r>
        <w:rPr>
          <w:rFonts w:hint="eastAsia" w:ascii="宋体" w:hAnsi="宋体" w:eastAsia="宋体" w:cs="宋体"/>
          <w:highlight w:val="none"/>
          <w:lang w:val="en-US" w:eastAsia="zh-CN"/>
        </w:rPr>
        <w:t>下列</w:t>
      </w:r>
      <w:r>
        <w:rPr>
          <w:rFonts w:hint="eastAsia" w:ascii="宋体" w:hAnsi="宋体" w:eastAsia="宋体" w:cs="宋体"/>
          <w:highlight w:val="none"/>
          <w:lang w:eastAsia="zh-CN"/>
        </w:rPr>
        <w:t>要求，并抽查车站开展相关现场核查：</w:t>
      </w:r>
      <w:bookmarkEnd w:id="163"/>
      <w:bookmarkEnd w:id="164"/>
      <w:bookmarkEnd w:id="165"/>
      <w:bookmarkEnd w:id="166"/>
    </w:p>
    <w:p>
      <w:pPr>
        <w:keepNext w:val="0"/>
        <w:keepLines w:val="0"/>
        <w:pageBreakBefore w:val="0"/>
        <w:widowControl w:val="0"/>
        <w:numPr>
          <w:ilvl w:val="4"/>
          <w:numId w:val="4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车站设施设备或区域安全标识、应急疏散标志、安全使用须知、应急操作指示等应完好清晰、醒目规范，并包括</w:t>
      </w:r>
      <w:r>
        <w:rPr>
          <w:rFonts w:hint="eastAsia" w:ascii="宋体" w:hAnsi="宋体" w:cs="Times New Roman"/>
          <w:highlight w:val="none"/>
          <w:lang w:val="en-US" w:eastAsia="zh-CN"/>
        </w:rPr>
        <w:t>下列</w:t>
      </w:r>
      <w:r>
        <w:rPr>
          <w:rFonts w:hint="eastAsia" w:ascii="宋体" w:hAnsi="宋体" w:eastAsia="宋体" w:cs="Times New Roman"/>
          <w:highlight w:val="none"/>
          <w:lang w:val="en-US" w:eastAsia="zh-CN"/>
        </w:rPr>
        <w:t>内容：</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lang w:eastAsia="zh-CN"/>
        </w:rPr>
        <w:t>车站禁止、限制携带物品目录；</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lang w:eastAsia="zh-CN"/>
        </w:rPr>
        <w:t>自动扶梯和电梯安全标识、安全须知，站台门安全标志、应急操作指示；</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lang w:eastAsia="zh-CN"/>
        </w:rPr>
        <w:t>列车紧急报警装置、紧急解锁装置、灭火器等安全设施的警示标识；</w:t>
      </w:r>
    </w:p>
    <w:p>
      <w:pPr>
        <w:keepNext w:val="0"/>
        <w:keepLines w:val="0"/>
        <w:pageBreakBefore w:val="0"/>
        <w:widowControl/>
        <w:numPr>
          <w:ilvl w:val="0"/>
          <w:numId w:val="41"/>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lang w:eastAsia="zh-CN"/>
        </w:rPr>
        <w:t>车站警示、禁止标识，疏散标志。</w:t>
      </w:r>
    </w:p>
    <w:p>
      <w:pPr>
        <w:keepNext w:val="0"/>
        <w:keepLines w:val="0"/>
        <w:pageBreakBefore w:val="0"/>
        <w:widowControl w:val="0"/>
        <w:numPr>
          <w:ilvl w:val="4"/>
          <w:numId w:val="4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车站自动扶梯和电梯、自动售检票机、站台门等设备故障情况下的应对措施应明确、细化到具体岗位。运营单位应组织针对性培训及演练，相关客运服务人员应熟悉处置流程及关键步骤。</w:t>
      </w:r>
    </w:p>
    <w:p>
      <w:pPr>
        <w:keepNext w:val="0"/>
        <w:keepLines w:val="0"/>
        <w:pageBreakBefore w:val="0"/>
        <w:widowControl w:val="0"/>
        <w:numPr>
          <w:ilvl w:val="4"/>
          <w:numId w:val="4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车站乘客投诉应在24 h内受理、在7个工作日内处理完毕、及时将处理结果告知乘客；初期运营期间，有效乘客投诉回复率应为100%，有效乘客投诉率不应大于3次/万次。</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lang w:val="en-US" w:eastAsia="zh-CN"/>
        </w:rPr>
      </w:pPr>
      <w:r>
        <w:rPr>
          <w:rFonts w:hint="eastAsia" w:ascii="宋体" w:hAnsi="宋体" w:eastAsia="宋体" w:cs="宋体"/>
          <w:highlight w:val="none"/>
          <w:lang w:val="en-US" w:eastAsia="zh-CN"/>
        </w:rPr>
        <w:t>换乘站管理责任界面清晰，客流流线衔接顺畅，信息联络、突发事件协同处置等机制运转有效。评估时应针对换乘站管理接口衔接、客流交织等问题可能影响客流组织的风险，抽取1座换乘站核查在换乘站管理制度中制定的风险管控措施是否落实下列要求：</w:t>
      </w:r>
    </w:p>
    <w:p>
      <w:pPr>
        <w:keepNext w:val="0"/>
        <w:keepLines w:val="0"/>
        <w:pageBreakBefore w:val="0"/>
        <w:widowControl w:val="0"/>
        <w:numPr>
          <w:ilvl w:val="4"/>
          <w:numId w:val="4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换乘车站的换乘通道、出入口等区域管理责任界面划分清晰；</w:t>
      </w:r>
    </w:p>
    <w:p>
      <w:pPr>
        <w:keepNext w:val="0"/>
        <w:keepLines w:val="0"/>
        <w:pageBreakBefore w:val="0"/>
        <w:widowControl w:val="0"/>
        <w:numPr>
          <w:ilvl w:val="4"/>
          <w:numId w:val="4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共管换乘车站由不同单位管理的，应签订相关管理协议，明确双方管理界面、客流流线、联络机制等；</w:t>
      </w:r>
    </w:p>
    <w:p>
      <w:pPr>
        <w:keepNext w:val="0"/>
        <w:keepLines w:val="0"/>
        <w:pageBreakBefore w:val="0"/>
        <w:widowControl w:val="0"/>
        <w:numPr>
          <w:ilvl w:val="4"/>
          <w:numId w:val="4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共管换乘车站不同线路应制定应急处置协同预案和车站协同处置细则，并定期组织会商和演练</w:t>
      </w:r>
      <w:r>
        <w:rPr>
          <w:rFonts w:hint="eastAsia" w:ascii="宋体" w:hAnsi="宋体" w:cs="Times New Roman"/>
          <w:highlight w:val="none"/>
          <w:lang w:val="en-US" w:eastAsia="zh-CN"/>
        </w:rPr>
        <w:t>。</w:t>
      </w:r>
    </w:p>
    <w:bookmarkEnd w:id="154"/>
    <w:bookmarkEnd w:id="155"/>
    <w:bookmarkEnd w:id="156"/>
    <w:bookmarkEnd w:id="157"/>
    <w:bookmarkEnd w:id="158"/>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eastAsia="zh-CN"/>
        </w:rPr>
      </w:pPr>
      <w:bookmarkStart w:id="167" w:name="_Toc15053"/>
      <w:bookmarkStart w:id="168" w:name="_Toc29125"/>
      <w:bookmarkStart w:id="169" w:name="_Toc24359"/>
      <w:bookmarkStart w:id="170" w:name="_Toc13747"/>
      <w:bookmarkStart w:id="171" w:name="_Toc26038"/>
      <w:bookmarkStart w:id="172" w:name="_Toc3772"/>
      <w:bookmarkStart w:id="173" w:name="_Toc20714"/>
      <w:bookmarkStart w:id="174" w:name="_Toc27972"/>
      <w:bookmarkStart w:id="175" w:name="_Toc28185"/>
      <w:r>
        <w:rPr>
          <w:rFonts w:hint="eastAsia" w:ascii="宋体" w:hAnsi="宋体" w:eastAsia="宋体" w:cs="宋体"/>
          <w:highlight w:val="none"/>
          <w:lang w:val="en-US" w:eastAsia="zh-CN"/>
        </w:rPr>
        <w:t>区间疏散、恶劣天气、火灾事故、异物侵入列车限界影响列车正常运行等突发事件的信息告知、疏散引导、应急物资等应满足有关规定，相关岗位人员应熟练掌握应急处置要点。评估时应检查</w:t>
      </w:r>
      <w:r>
        <w:rPr>
          <w:rFonts w:hint="eastAsia" w:ascii="宋体" w:hAnsi="宋体" w:eastAsia="宋体" w:cs="宋体"/>
          <w:highlight w:val="none"/>
          <w:lang w:eastAsia="zh-CN"/>
        </w:rPr>
        <w:t>车站现场处置方案或安全管理制度中针对突发事件情况下，因车站信息告知、疏散引导、应急物资启用不到位等影响乘客疏散或导致客伤的风险</w:t>
      </w:r>
      <w:r>
        <w:rPr>
          <w:rFonts w:hint="eastAsia" w:ascii="宋体" w:hAnsi="宋体" w:eastAsia="宋体" w:cs="宋体"/>
          <w:highlight w:val="none"/>
          <w:lang w:val="en-US" w:eastAsia="zh-CN"/>
        </w:rPr>
        <w:t>管理措施</w:t>
      </w:r>
      <w:r>
        <w:rPr>
          <w:rFonts w:hint="eastAsia" w:ascii="宋体" w:hAnsi="宋体" w:eastAsia="宋体" w:cs="宋体"/>
          <w:highlight w:val="none"/>
          <w:lang w:eastAsia="zh-CN"/>
        </w:rPr>
        <w:t>，</w:t>
      </w:r>
      <w:r>
        <w:rPr>
          <w:rFonts w:hint="eastAsia" w:ascii="宋体" w:hAnsi="宋体" w:eastAsia="宋体" w:cs="宋体"/>
          <w:highlight w:val="none"/>
          <w:lang w:val="en-US" w:eastAsia="zh-CN"/>
        </w:rPr>
        <w:t>核查是否满足</w:t>
      </w:r>
      <w:r>
        <w:rPr>
          <w:rFonts w:hint="eastAsia" w:ascii="宋体" w:hAnsi="宋体" w:eastAsia="宋体" w:cs="宋体"/>
          <w:highlight w:val="none"/>
          <w:lang w:eastAsia="zh-CN"/>
        </w:rPr>
        <w:t>下列要求：</w:t>
      </w:r>
      <w:bookmarkEnd w:id="167"/>
      <w:bookmarkEnd w:id="168"/>
      <w:bookmarkEnd w:id="169"/>
      <w:bookmarkEnd w:id="170"/>
    </w:p>
    <w:p>
      <w:pPr>
        <w:keepNext w:val="0"/>
        <w:keepLines w:val="0"/>
        <w:pageBreakBefore w:val="0"/>
        <w:widowControl w:val="0"/>
        <w:numPr>
          <w:ilvl w:val="4"/>
          <w:numId w:val="5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列车停在区间需要区间乘客疏散时，列车逃生门、站台疏散门应处于开启状态，轨道梁疏散通道至站台疏散门间应搭设疏散步梯，调度人员应通过广播准确、清晰地告知车内、车站乘客疏散方向并安抚乘客情绪，司乘人员于迫停地点引导疏散；可采取暂停进入车站等措施，并及时告知乘客；</w:t>
      </w:r>
    </w:p>
    <w:p>
      <w:pPr>
        <w:keepNext w:val="0"/>
        <w:keepLines w:val="0"/>
        <w:pageBreakBefore w:val="0"/>
        <w:widowControl w:val="0"/>
        <w:numPr>
          <w:ilvl w:val="4"/>
          <w:numId w:val="5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出现雨雪等恶劣天气时，调度人员可根据天气情况设置雨雪模式防护；运营单位应采取铺设防滑垫、设置防滑、防拥堵提示等必要措施，及时进行广播提示和现场疏导；站内或出入口乘客聚集可能造成客流对冲等情况时，可调整自动扶梯运行方向或暂时关闭自动扶梯，危及乘客安全时，可暂时关闭出入口；</w:t>
      </w:r>
    </w:p>
    <w:p>
      <w:pPr>
        <w:keepNext w:val="0"/>
        <w:keepLines w:val="0"/>
        <w:pageBreakBefore w:val="0"/>
        <w:widowControl w:val="0"/>
        <w:numPr>
          <w:ilvl w:val="4"/>
          <w:numId w:val="5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车站发生火灾等突发事件时，调度人员应组织按应急预案进行现场处置，必要时采取关闭出入口、疏散站内乘客、封站等措施；</w:t>
      </w:r>
    </w:p>
    <w:p>
      <w:pPr>
        <w:keepNext w:val="0"/>
        <w:keepLines w:val="0"/>
        <w:pageBreakBefore w:val="0"/>
        <w:widowControl w:val="0"/>
        <w:numPr>
          <w:ilvl w:val="4"/>
          <w:numId w:val="5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异物侵入列车限界等可能导致列车进出站发生行车事件或乘客伤亡的，应按应急预案要求采取列车紧急停车等措施，做好客流引导工作；</w:t>
      </w:r>
    </w:p>
    <w:p>
      <w:pPr>
        <w:keepNext w:val="0"/>
        <w:keepLines w:val="0"/>
        <w:pageBreakBefore w:val="0"/>
        <w:widowControl w:val="0"/>
        <w:numPr>
          <w:ilvl w:val="4"/>
          <w:numId w:val="5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应急物资的数量、种类等应符合应急预案的规定。</w:t>
      </w:r>
    </w:p>
    <w:bookmarkEnd w:id="171"/>
    <w:bookmarkEnd w:id="172"/>
    <w:bookmarkEnd w:id="173"/>
    <w:bookmarkEnd w:id="174"/>
    <w:bookmarkEnd w:id="175"/>
    <w:p>
      <w:pPr>
        <w:pStyle w:val="106"/>
        <w:spacing w:before="240" w:after="240"/>
        <w:rPr>
          <w:rFonts w:hint="eastAsia" w:hAnsi="Times New Roman" w:cs="Times New Roman"/>
          <w:lang w:val="en-US" w:eastAsia="zh-CN"/>
        </w:rPr>
      </w:pPr>
      <w:bookmarkStart w:id="176" w:name="_Toc32144"/>
      <w:bookmarkStart w:id="177" w:name="_Toc322"/>
      <w:bookmarkStart w:id="178" w:name="_Toc17640"/>
      <w:bookmarkStart w:id="179" w:name="_Toc14594"/>
      <w:bookmarkStart w:id="180" w:name="_Toc22456"/>
      <w:r>
        <w:rPr>
          <w:rFonts w:hint="eastAsia" w:hAnsi="Times New Roman" w:cs="Times New Roman"/>
          <w:lang w:val="en-US" w:eastAsia="zh-CN"/>
        </w:rPr>
        <w:t>设施设备运行维护</w:t>
      </w:r>
      <w:bookmarkEnd w:id="176"/>
      <w:bookmarkEnd w:id="177"/>
      <w:bookmarkEnd w:id="178"/>
      <w:bookmarkEnd w:id="179"/>
      <w:bookmarkEnd w:id="180"/>
    </w:p>
    <w:p>
      <w:pPr>
        <w:pStyle w:val="107"/>
        <w:spacing w:before="120" w:after="120"/>
        <w:rPr>
          <w:rFonts w:hint="eastAsia" w:hAnsi="Times New Roman" w:cs="Times New Roman"/>
        </w:rPr>
      </w:pPr>
      <w:bookmarkStart w:id="181" w:name="_Toc29563"/>
      <w:bookmarkStart w:id="182" w:name="_Toc31208"/>
      <w:bookmarkStart w:id="183" w:name="_Toc477"/>
      <w:bookmarkStart w:id="184" w:name="_Toc26750"/>
      <w:bookmarkStart w:id="185" w:name="_Toc15378"/>
      <w:r>
        <w:rPr>
          <w:rFonts w:hint="eastAsia" w:hAnsi="Times New Roman" w:cs="Times New Roman"/>
        </w:rPr>
        <w:t>一般规定</w:t>
      </w:r>
      <w:bookmarkEnd w:id="181"/>
      <w:bookmarkEnd w:id="182"/>
      <w:bookmarkEnd w:id="183"/>
      <w:bookmarkEnd w:id="184"/>
      <w:bookmarkEnd w:id="18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186" w:name="_Toc18858"/>
      <w:r>
        <w:rPr>
          <w:rFonts w:hint="eastAsia" w:ascii="宋体" w:hAnsi="宋体" w:eastAsia="宋体" w:cs="宋体"/>
          <w:lang w:val="en-US" w:eastAsia="zh-CN"/>
        </w:rPr>
        <w:t>运营单位应</w:t>
      </w:r>
      <w:r>
        <w:rPr>
          <w:rFonts w:hint="eastAsia" w:ascii="宋体" w:hAnsi="宋体" w:eastAsia="宋体" w:cs="宋体"/>
          <w:lang w:eastAsia="zh-CN"/>
        </w:rPr>
        <w:t>至少开展一次全面查线核图工作，对设施设备查线核图、维护等工作过程中发现的产品、施工质量，设计缺陷，设备布局缺陷，以及软件安全隐患或缺陷等工程问题，应及时组织或督促有关单位进行整改，并校正有关文件和图纸。评估内容如下：</w:t>
      </w:r>
      <w:bookmarkEnd w:id="186"/>
    </w:p>
    <w:p>
      <w:pPr>
        <w:keepNext w:val="0"/>
        <w:keepLines w:val="0"/>
        <w:pageBreakBefore w:val="0"/>
        <w:widowControl w:val="0"/>
        <w:numPr>
          <w:ilvl w:val="4"/>
          <w:numId w:val="5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抽查工程问题整改完成情况记录台账；</w:t>
      </w:r>
    </w:p>
    <w:p>
      <w:pPr>
        <w:keepNext w:val="0"/>
        <w:keepLines w:val="0"/>
        <w:pageBreakBefore w:val="0"/>
        <w:widowControl w:val="0"/>
        <w:numPr>
          <w:ilvl w:val="4"/>
          <w:numId w:val="5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抽查查线核图工作记录和相关图纸文件。</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187" w:name="_Toc31512"/>
      <w:r>
        <w:rPr>
          <w:rFonts w:hint="eastAsia" w:ascii="宋体" w:hAnsi="宋体" w:eastAsia="宋体" w:cs="宋体"/>
          <w:lang w:eastAsia="zh-CN"/>
        </w:rPr>
        <w:t>设施设备运行维护符合维护管理制度和技术文件</w:t>
      </w:r>
      <w:r>
        <w:rPr>
          <w:rFonts w:hint="eastAsia" w:ascii="宋体" w:hAnsi="宋体" w:eastAsia="宋体" w:cs="宋体"/>
          <w:lang w:val="en-US" w:eastAsia="zh-CN"/>
        </w:rPr>
        <w:t>的规定</w:t>
      </w:r>
      <w:r>
        <w:rPr>
          <w:rFonts w:hint="eastAsia" w:ascii="宋体" w:hAnsi="宋体" w:eastAsia="宋体" w:cs="宋体"/>
          <w:lang w:eastAsia="zh-CN"/>
        </w:rPr>
        <w:t>，保证技术状态良好，安全功能、技术指标参数和性能完整有效。评估内容如下：</w:t>
      </w:r>
      <w:bookmarkEnd w:id="187"/>
    </w:p>
    <w:p>
      <w:pPr>
        <w:keepNext w:val="0"/>
        <w:keepLines w:val="0"/>
        <w:pageBreakBefore w:val="0"/>
        <w:widowControl w:val="0"/>
        <w:numPr>
          <w:ilvl w:val="4"/>
          <w:numId w:val="5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通过人员问询和资料查阅，核查设施设备维护机构及其分工和职责与维护策略相适应；</w:t>
      </w:r>
    </w:p>
    <w:p>
      <w:pPr>
        <w:keepNext w:val="0"/>
        <w:keepLines w:val="0"/>
        <w:pageBreakBefore w:val="0"/>
        <w:widowControl w:val="0"/>
        <w:numPr>
          <w:ilvl w:val="4"/>
          <w:numId w:val="5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查阅维护管理制度、技术文件、维护台账，文件完整，有关维护内容、维护计划、维护质量考核齐全，技术指标、技术参数保持在容许值内，运行有效；</w:t>
      </w:r>
    </w:p>
    <w:p>
      <w:pPr>
        <w:keepNext w:val="0"/>
        <w:keepLines w:val="0"/>
        <w:pageBreakBefore w:val="0"/>
        <w:widowControl w:val="0"/>
        <w:numPr>
          <w:ilvl w:val="4"/>
          <w:numId w:val="5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检查设施设备的维护记录、故障记录等，核查维护规程落实情况；</w:t>
      </w:r>
    </w:p>
    <w:p>
      <w:pPr>
        <w:keepNext w:val="0"/>
        <w:keepLines w:val="0"/>
        <w:pageBreakBefore w:val="0"/>
        <w:widowControl w:val="0"/>
        <w:numPr>
          <w:ilvl w:val="4"/>
          <w:numId w:val="5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查阅备品备件管理制度文件和工作记录台账，保证备品备件齐全有效，对备品备件管理中存在的问题有分析、纠正和预防措施；</w:t>
      </w:r>
    </w:p>
    <w:p>
      <w:pPr>
        <w:keepNext w:val="0"/>
        <w:keepLines w:val="0"/>
        <w:pageBreakBefore w:val="0"/>
        <w:widowControl w:val="0"/>
        <w:numPr>
          <w:ilvl w:val="4"/>
          <w:numId w:val="5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查阅返厂设备的维护方案、维护记录及运营线路上线测试合格报告。</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188" w:name="_Toc23355"/>
      <w:r>
        <w:rPr>
          <w:rFonts w:hint="eastAsia" w:ascii="宋体" w:hAnsi="宋体" w:eastAsia="宋体" w:cs="宋体"/>
          <w:lang w:eastAsia="zh-CN"/>
        </w:rPr>
        <w:t>变更、改造设施设备原设计结构、主要功能和架构、软件设计等应通过论证。新增的设施设备应通过验收并按规定进行维护管理。投用前应完成从业人员安全生产知识和操作技能培训。评估内容如下：</w:t>
      </w:r>
      <w:bookmarkEnd w:id="188"/>
    </w:p>
    <w:p>
      <w:pPr>
        <w:keepNext w:val="0"/>
        <w:keepLines w:val="0"/>
        <w:pageBreakBefore w:val="0"/>
        <w:widowControl w:val="0"/>
        <w:numPr>
          <w:ilvl w:val="4"/>
          <w:numId w:val="5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抽查变更、改造设施设备的论证记录；</w:t>
      </w:r>
    </w:p>
    <w:p>
      <w:pPr>
        <w:keepNext w:val="0"/>
        <w:keepLines w:val="0"/>
        <w:pageBreakBefore w:val="0"/>
        <w:widowControl w:val="0"/>
        <w:numPr>
          <w:ilvl w:val="4"/>
          <w:numId w:val="5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查阅新增设施设备的安装、测试、验收、竣工图纸等技术文件；</w:t>
      </w:r>
    </w:p>
    <w:p>
      <w:pPr>
        <w:keepNext w:val="0"/>
        <w:keepLines w:val="0"/>
        <w:pageBreakBefore w:val="0"/>
        <w:widowControl w:val="0"/>
        <w:numPr>
          <w:ilvl w:val="4"/>
          <w:numId w:val="5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查阅维护和安全生产管理制度，核查从业人员人员安全和操作技能培训的记录。</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189" w:name="_Toc28863"/>
      <w:r>
        <w:rPr>
          <w:rFonts w:hint="eastAsia" w:ascii="宋体" w:hAnsi="宋体" w:eastAsia="宋体" w:cs="宋体"/>
          <w:lang w:eastAsia="zh-CN"/>
        </w:rPr>
        <w:t>运营单位应按规定进行保护区施工作业项目技术审查，并加强保护区巡查管理。评估内容如下：</w:t>
      </w:r>
      <w:bookmarkEnd w:id="189"/>
    </w:p>
    <w:p>
      <w:pPr>
        <w:keepNext w:val="0"/>
        <w:keepLines w:val="0"/>
        <w:pageBreakBefore w:val="0"/>
        <w:widowControl w:val="0"/>
        <w:numPr>
          <w:ilvl w:val="4"/>
          <w:numId w:val="5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抽查保护区管理制度，在制度中应明确保护区的具体范围、审查程序、安全管理要求、巡查程序、应急要求等内容；</w:t>
      </w:r>
    </w:p>
    <w:p>
      <w:pPr>
        <w:keepNext w:val="0"/>
        <w:keepLines w:val="0"/>
        <w:pageBreakBefore w:val="0"/>
        <w:widowControl w:val="0"/>
        <w:numPr>
          <w:ilvl w:val="4"/>
          <w:numId w:val="5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查阅巡查记录，核查巡查内容和巡查频次符合有关规定，现场查勘保护区提示或警示标志，应状态完好；</w:t>
      </w:r>
    </w:p>
    <w:p>
      <w:pPr>
        <w:keepNext w:val="0"/>
        <w:keepLines w:val="0"/>
        <w:pageBreakBefore w:val="0"/>
        <w:widowControl w:val="0"/>
        <w:numPr>
          <w:ilvl w:val="4"/>
          <w:numId w:val="5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抽查至少2个保护区作业项目，核查作业项目技术审核和作业监控符合有关规定，保护区发现影响运营安全的问题已完成整改。</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190" w:name="_Toc5334"/>
      <w:r>
        <w:rPr>
          <w:rFonts w:hint="eastAsia" w:ascii="宋体" w:hAnsi="宋体" w:eastAsia="宋体" w:cs="宋体"/>
          <w:lang w:eastAsia="zh-CN"/>
        </w:rPr>
        <w:t>运营单位应具有月度和年度设施设备运行分析报告。评估内容如下：</w:t>
      </w:r>
      <w:bookmarkEnd w:id="190"/>
    </w:p>
    <w:p>
      <w:pPr>
        <w:keepNext w:val="0"/>
        <w:keepLines w:val="0"/>
        <w:pageBreakBefore w:val="0"/>
        <w:widowControl w:val="0"/>
        <w:numPr>
          <w:ilvl w:val="4"/>
          <w:numId w:val="5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抽查车辆、信号、供电、轨道等设施设备运行分析报告，内容涵盖设备主要故障或设施主要病害损伤、发生次数、设备平均无故障运行时间、故障发生率、发生原因、整改措施等；</w:t>
      </w:r>
    </w:p>
    <w:p>
      <w:pPr>
        <w:keepNext w:val="0"/>
        <w:keepLines w:val="0"/>
        <w:pageBreakBefore w:val="0"/>
        <w:widowControl w:val="0"/>
        <w:numPr>
          <w:ilvl w:val="4"/>
          <w:numId w:val="5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查阅引起5 min晚点以上或造成重大影响的设施设备故障专项分析报告，核查事件原因准确、整改措施合理，相关整改措施已落实或完善到相关管理制度或技术文件。</w:t>
      </w:r>
    </w:p>
    <w:p>
      <w:pPr>
        <w:pStyle w:val="67"/>
        <w:autoSpaceDE/>
        <w:autoSpaceDN/>
        <w:adjustRightInd/>
        <w:spacing w:beforeLines="0" w:afterLines="0"/>
        <w:ind w:left="0" w:leftChars="0" w:firstLine="0" w:firstLineChars="0"/>
        <w:rPr>
          <w:rFonts w:hint="eastAsia" w:ascii="宋体" w:hAnsi="宋体" w:eastAsia="宋体" w:cs="宋体"/>
          <w:highlight w:val="none"/>
        </w:rPr>
      </w:pPr>
      <w:r>
        <w:rPr>
          <w:rFonts w:hint="eastAsia" w:ascii="宋体" w:hAnsi="宋体" w:eastAsia="宋体" w:cs="宋体"/>
          <w:highlight w:val="none"/>
          <w:lang w:eastAsia="zh-CN"/>
        </w:rPr>
        <w:t>初期运营最后三个月，设备系统运行指标应满足</w:t>
      </w:r>
      <w:r>
        <w:rPr>
          <w:rFonts w:hint="eastAsia" w:ascii="宋体" w:hAnsi="宋体" w:eastAsia="宋体" w:cs="宋体"/>
          <w:highlight w:val="none"/>
          <w:lang w:val="en-US" w:eastAsia="zh-CN"/>
        </w:rPr>
        <w:t>下列规定，指标的定义和计算方法应符合附录A的规定。</w:t>
      </w:r>
      <w:r>
        <w:rPr>
          <w:rFonts w:hint="eastAsia" w:ascii="宋体" w:hAnsi="宋体" w:eastAsia="宋体" w:cs="宋体"/>
        </w:rPr>
        <w:t>评估时应查阅最后3个月的设备运行情况分析报告及其故障统计记录，核查设备系统运行情况。</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车辆系统故障率不高于</w:t>
      </w:r>
      <w:r>
        <w:rPr>
          <w:rFonts w:hint="eastAsia" w:ascii="宋体" w:hAnsi="宋体" w:eastAsia="宋体" w:cs="宋体"/>
          <w:highlight w:val="none"/>
          <w:lang w:val="en-US"/>
        </w:rPr>
        <w:t>1</w:t>
      </w:r>
      <w:r>
        <w:rPr>
          <w:rFonts w:hint="eastAsia" w:ascii="宋体" w:hAnsi="宋体" w:eastAsia="宋体" w:cs="宋体"/>
          <w:highlight w:val="none"/>
        </w:rPr>
        <w:t>次/万列公里；</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信号系统故障率不高于0.8次/万列公里；</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供电系统故障率不高于0.16次/万列公里；</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站台门故障率不高于0.</w:t>
      </w:r>
      <w:r>
        <w:rPr>
          <w:rFonts w:hint="eastAsia" w:ascii="宋体" w:hAnsi="宋体" w:eastAsia="宋体" w:cs="宋体"/>
          <w:highlight w:val="none"/>
          <w:lang w:val="en-US"/>
        </w:rPr>
        <w:t>6</w:t>
      </w:r>
      <w:r>
        <w:rPr>
          <w:rFonts w:hint="eastAsia" w:ascii="宋体" w:hAnsi="宋体" w:eastAsia="宋体" w:cs="宋体"/>
          <w:highlight w:val="none"/>
        </w:rPr>
        <w:t>次/万次；</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自动扶梯可靠度不低于98.5%；</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电梯可靠度不低于99%；</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售票机可靠度不低于98%；</w:t>
      </w:r>
    </w:p>
    <w:p>
      <w:pPr>
        <w:keepNext w:val="0"/>
        <w:keepLines w:val="0"/>
        <w:pageBreakBefore w:val="0"/>
        <w:widowControl w:val="0"/>
        <w:numPr>
          <w:ilvl w:val="4"/>
          <w:numId w:val="5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rPr>
      </w:pPr>
      <w:r>
        <w:rPr>
          <w:rFonts w:hint="eastAsia" w:ascii="宋体" w:hAnsi="宋体" w:eastAsia="宋体" w:cs="宋体"/>
          <w:highlight w:val="none"/>
        </w:rPr>
        <w:t>检票机可靠度不低于99%。</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全自动运行关键指标还应符合下列规定</w:t>
      </w:r>
      <w:r>
        <w:rPr>
          <w:rFonts w:hint="eastAsia" w:ascii="宋体" w:hAnsi="宋体" w:eastAsia="宋体" w:cs="宋体"/>
          <w:lang w:eastAsia="zh-CN"/>
        </w:rPr>
        <w:t>，</w:t>
      </w:r>
      <w:r>
        <w:rPr>
          <w:rFonts w:hint="eastAsia" w:ascii="宋体" w:hAnsi="宋体" w:eastAsia="宋体" w:cs="宋体"/>
        </w:rPr>
        <w:t>指标的定义和计算方法</w:t>
      </w:r>
      <w:r>
        <w:rPr>
          <w:rFonts w:hint="eastAsia" w:ascii="宋体" w:hAnsi="宋体" w:eastAsia="宋体" w:cs="宋体"/>
          <w:lang w:val="en-US" w:eastAsia="zh-CN"/>
        </w:rPr>
        <w:t>应符合</w:t>
      </w:r>
      <w:r>
        <w:rPr>
          <w:rFonts w:hint="eastAsia" w:ascii="宋体" w:hAnsi="宋体" w:eastAsia="宋体" w:cs="宋体"/>
        </w:rPr>
        <w:t>附录A</w:t>
      </w:r>
      <w:r>
        <w:rPr>
          <w:rFonts w:hint="eastAsia" w:ascii="宋体" w:hAnsi="宋体" w:eastAsia="宋体" w:cs="宋体"/>
          <w:lang w:val="en-US" w:eastAsia="zh-CN"/>
        </w:rPr>
        <w:t>的规定</w:t>
      </w:r>
      <w:r>
        <w:rPr>
          <w:rFonts w:hint="eastAsia" w:ascii="宋体" w:hAnsi="宋体" w:eastAsia="宋体" w:cs="宋体"/>
          <w:lang w:eastAsia="zh-CN"/>
        </w:rPr>
        <w:t>。</w:t>
      </w:r>
      <w:r>
        <w:rPr>
          <w:rFonts w:hint="eastAsia" w:ascii="宋体" w:hAnsi="宋体" w:eastAsia="宋体" w:cs="宋体"/>
        </w:rPr>
        <w:t>评估时应查阅最后3个月的设备运行情况分析报告及其故障统计记录，核查设备系统运行情况。</w:t>
      </w:r>
    </w:p>
    <w:p>
      <w:pPr>
        <w:keepNext w:val="0"/>
        <w:keepLines w:val="0"/>
        <w:pageBreakBefore w:val="0"/>
        <w:widowControl w:val="0"/>
        <w:numPr>
          <w:ilvl w:val="4"/>
          <w:numId w:val="57"/>
        </w:numPr>
        <w:kinsoku/>
        <w:wordWrap/>
        <w:overflowPunct/>
        <w:topLinePunct w:val="0"/>
        <w:autoSpaceDE/>
        <w:autoSpaceDN/>
        <w:bidi w:val="0"/>
        <w:adjustRightInd w:val="0"/>
        <w:snapToGrid/>
        <w:spacing w:line="240" w:lineRule="auto"/>
        <w:ind w:left="852" w:leftChars="200" w:hanging="432" w:hangingChars="206"/>
        <w:textAlignment w:val="auto"/>
        <w:rPr>
          <w:rFonts w:ascii="宋体" w:hAnsi="宋体" w:eastAsia="宋体" w:cs="Times New Roman"/>
          <w:highlight w:val="none"/>
        </w:rPr>
      </w:pPr>
      <w:r>
        <w:rPr>
          <w:rFonts w:hint="default" w:ascii="宋体" w:hAnsi="宋体" w:eastAsia="宋体" w:cs="Times New Roman"/>
          <w:highlight w:val="none"/>
        </w:rPr>
        <w:t>列车退出全自动运行模式率不高于2%；</w:t>
      </w:r>
    </w:p>
    <w:p>
      <w:pPr>
        <w:keepNext w:val="0"/>
        <w:keepLines w:val="0"/>
        <w:pageBreakBefore w:val="0"/>
        <w:widowControl w:val="0"/>
        <w:numPr>
          <w:ilvl w:val="4"/>
          <w:numId w:val="57"/>
        </w:numPr>
        <w:kinsoku/>
        <w:wordWrap/>
        <w:overflowPunct/>
        <w:topLinePunct w:val="0"/>
        <w:autoSpaceDE/>
        <w:autoSpaceDN/>
        <w:bidi w:val="0"/>
        <w:adjustRightInd w:val="0"/>
        <w:snapToGrid/>
        <w:spacing w:line="240" w:lineRule="auto"/>
        <w:ind w:left="852" w:leftChars="200" w:hanging="432" w:hangingChars="206"/>
        <w:textAlignment w:val="auto"/>
        <w:rPr>
          <w:rFonts w:ascii="宋体" w:hAnsi="宋体" w:eastAsia="宋体" w:cs="Times New Roman"/>
          <w:highlight w:val="none"/>
        </w:rPr>
      </w:pPr>
      <w:r>
        <w:rPr>
          <w:rFonts w:hint="default" w:ascii="宋体" w:hAnsi="宋体" w:eastAsia="宋体" w:cs="Times New Roman"/>
          <w:highlight w:val="none"/>
        </w:rPr>
        <w:t>列车唤醒自检成功率不低于9</w:t>
      </w:r>
      <w:r>
        <w:rPr>
          <w:rFonts w:hint="eastAsia" w:ascii="宋体" w:hAnsi="宋体" w:cs="Times New Roman"/>
          <w:highlight w:val="none"/>
          <w:lang w:val="en-US" w:eastAsia="zh-CN"/>
        </w:rPr>
        <w:t>9.5</w:t>
      </w:r>
      <w:r>
        <w:rPr>
          <w:rFonts w:hint="default" w:ascii="宋体" w:hAnsi="宋体" w:eastAsia="宋体" w:cs="Times New Roman"/>
          <w:highlight w:val="none"/>
        </w:rPr>
        <w:t>%；</w:t>
      </w:r>
    </w:p>
    <w:p>
      <w:pPr>
        <w:keepNext w:val="0"/>
        <w:keepLines w:val="0"/>
        <w:pageBreakBefore w:val="0"/>
        <w:widowControl w:val="0"/>
        <w:numPr>
          <w:ilvl w:val="4"/>
          <w:numId w:val="57"/>
        </w:numPr>
        <w:kinsoku/>
        <w:wordWrap/>
        <w:overflowPunct/>
        <w:topLinePunct w:val="0"/>
        <w:autoSpaceDE/>
        <w:autoSpaceDN/>
        <w:bidi w:val="0"/>
        <w:adjustRightInd w:val="0"/>
        <w:snapToGrid/>
        <w:spacing w:line="240" w:lineRule="auto"/>
        <w:ind w:left="852" w:leftChars="200" w:hanging="432" w:hangingChars="206"/>
        <w:textAlignment w:val="auto"/>
        <w:rPr>
          <w:rFonts w:ascii="宋体" w:hAnsi="宋体" w:eastAsia="宋体" w:cs="Times New Roman"/>
          <w:highlight w:val="none"/>
        </w:rPr>
      </w:pPr>
      <w:r>
        <w:rPr>
          <w:rFonts w:hint="default" w:ascii="宋体" w:hAnsi="宋体" w:eastAsia="宋体" w:cs="Times New Roman"/>
          <w:highlight w:val="none"/>
        </w:rPr>
        <w:t>传输系统不出现系统瘫痪，不发生影响系统运行的故障；</w:t>
      </w:r>
    </w:p>
    <w:p>
      <w:pPr>
        <w:keepNext w:val="0"/>
        <w:keepLines w:val="0"/>
        <w:pageBreakBefore w:val="0"/>
        <w:widowControl w:val="0"/>
        <w:numPr>
          <w:ilvl w:val="4"/>
          <w:numId w:val="57"/>
        </w:numPr>
        <w:kinsoku/>
        <w:wordWrap/>
        <w:overflowPunct/>
        <w:topLinePunct w:val="0"/>
        <w:autoSpaceDE/>
        <w:autoSpaceDN/>
        <w:bidi w:val="0"/>
        <w:adjustRightInd w:val="0"/>
        <w:snapToGrid/>
        <w:spacing w:line="240" w:lineRule="auto"/>
        <w:ind w:left="852" w:leftChars="200" w:hanging="432" w:hangingChars="206"/>
        <w:textAlignment w:val="auto"/>
        <w:rPr>
          <w:rFonts w:ascii="宋体" w:hAnsi="宋体" w:eastAsia="宋体" w:cs="Times New Roman"/>
          <w:highlight w:val="none"/>
        </w:rPr>
      </w:pPr>
      <w:r>
        <w:rPr>
          <w:rFonts w:hint="default" w:ascii="宋体" w:hAnsi="宋体" w:eastAsia="宋体" w:cs="Times New Roman"/>
          <w:highlight w:val="none"/>
        </w:rPr>
        <w:t>车地无线系统不出现系统瘫痪，不发生影响系统运行的故障。</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191" w:name="_Toc10071"/>
      <w:r>
        <w:rPr>
          <w:rFonts w:hint="eastAsia" w:ascii="宋体" w:hAnsi="宋体" w:eastAsia="宋体" w:cs="宋体"/>
          <w:lang w:eastAsia="zh-CN"/>
        </w:rPr>
        <w:t>运营单位应将委外单位管理纳入统一管理体系。评估时应抽查委外合约和管理制度，</w:t>
      </w:r>
      <w:r>
        <w:rPr>
          <w:rFonts w:hint="eastAsia" w:ascii="宋体" w:hAnsi="宋体" w:eastAsia="宋体" w:cs="宋体"/>
          <w:lang w:val="en-US" w:eastAsia="zh-CN"/>
        </w:rPr>
        <w:t>核查是否</w:t>
      </w:r>
      <w:r>
        <w:rPr>
          <w:rFonts w:hint="eastAsia" w:ascii="宋体" w:hAnsi="宋体" w:eastAsia="宋体" w:cs="宋体"/>
          <w:lang w:eastAsia="zh-CN"/>
        </w:rPr>
        <w:t>明确委外业务管理范围、人员上岗条件及岗位职责、人员安全培训和应急演练以及有关监督考核</w:t>
      </w:r>
      <w:r>
        <w:rPr>
          <w:rFonts w:hint="eastAsia" w:ascii="宋体" w:hAnsi="宋体" w:eastAsia="宋体" w:cs="宋体"/>
          <w:lang w:val="en-US" w:eastAsia="zh-CN"/>
        </w:rPr>
        <w:t>要求</w:t>
      </w:r>
      <w:r>
        <w:rPr>
          <w:rFonts w:hint="eastAsia" w:ascii="宋体" w:hAnsi="宋体" w:eastAsia="宋体" w:cs="宋体"/>
          <w:lang w:eastAsia="zh-CN"/>
        </w:rPr>
        <w:t>等。</w:t>
      </w:r>
      <w:bookmarkEnd w:id="191"/>
    </w:p>
    <w:p>
      <w:pPr>
        <w:pStyle w:val="107"/>
        <w:spacing w:before="120" w:after="120"/>
        <w:rPr>
          <w:rFonts w:hint="eastAsia" w:hAnsi="Times New Roman" w:cs="Times New Roman"/>
        </w:rPr>
      </w:pPr>
      <w:bookmarkStart w:id="192" w:name="_Toc15475"/>
      <w:bookmarkStart w:id="193" w:name="_Toc21976"/>
      <w:bookmarkStart w:id="194" w:name="_Toc19859"/>
      <w:bookmarkStart w:id="195" w:name="_Toc7025"/>
      <w:bookmarkStart w:id="196" w:name="_Toc11636"/>
      <w:r>
        <w:rPr>
          <w:rFonts w:hint="eastAsia" w:hAnsi="Times New Roman" w:cs="Times New Roman"/>
        </w:rPr>
        <w:t>土建设施</w:t>
      </w:r>
      <w:bookmarkEnd w:id="192"/>
      <w:bookmarkEnd w:id="193"/>
      <w:bookmarkEnd w:id="194"/>
      <w:bookmarkEnd w:id="195"/>
      <w:bookmarkEnd w:id="196"/>
    </w:p>
    <w:p>
      <w:pPr>
        <w:pStyle w:val="67"/>
        <w:bidi w:val="0"/>
        <w:ind w:left="0" w:leftChars="0" w:firstLine="0" w:firstLineChars="0"/>
        <w:rPr>
          <w:rFonts w:hint="eastAsia"/>
        </w:rPr>
      </w:pPr>
      <w:bookmarkStart w:id="197" w:name="_Toc29807"/>
      <w:r>
        <w:rPr>
          <w:rFonts w:hint="eastAsia"/>
        </w:rPr>
        <w:t>区间</w:t>
      </w:r>
      <w:bookmarkEnd w:id="197"/>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桥梁主体结构应状态良好，结构强度与刚度符合安全运营要求，结构损伤应在控制允许范围内。</w:t>
      </w:r>
      <w:r>
        <w:rPr>
          <w:rFonts w:hint="eastAsia" w:ascii="宋体" w:hAnsi="宋体" w:eastAsia="宋体" w:cs="宋体"/>
          <w:lang w:eastAsia="zh-CN"/>
        </w:rPr>
        <w:t>评估</w:t>
      </w:r>
      <w:r>
        <w:rPr>
          <w:rFonts w:hint="eastAsia" w:ascii="宋体" w:hAnsi="宋体" w:eastAsia="宋体" w:cs="宋体"/>
          <w:lang w:val="en-US" w:eastAsia="zh-CN"/>
        </w:rPr>
        <w:t>时应核查是否满足下列要求</w:t>
      </w:r>
      <w:r>
        <w:rPr>
          <w:rFonts w:hint="eastAsia" w:ascii="宋体" w:hAnsi="宋体" w:eastAsia="宋体" w:cs="宋体"/>
          <w:lang w:eastAsia="zh-CN"/>
        </w:rPr>
        <w:t>：</w:t>
      </w:r>
    </w:p>
    <w:p>
      <w:pPr>
        <w:keepNext w:val="0"/>
        <w:keepLines w:val="0"/>
        <w:pageBreakBefore w:val="0"/>
        <w:widowControl w:val="0"/>
        <w:numPr>
          <w:ilvl w:val="4"/>
          <w:numId w:val="5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对桥梁进行巡查，钢桥、钢混组合桥梁、钢混混合桥梁的巡查频率不低于1次/月，混凝土桥梁巡查频率不低于1次/3月；巡查内容应包括混凝土桥面、梁体、指型板、走行面防滑层、墩台裂缝，钢桥起皮脱落及锈蚀，钢桥焊缝、铆钉及螺栓的变形、损坏，伸缩缝、变形缝的损坏等病害情况；</w:t>
      </w:r>
    </w:p>
    <w:p>
      <w:pPr>
        <w:keepNext w:val="0"/>
        <w:keepLines w:val="0"/>
        <w:pageBreakBefore w:val="0"/>
        <w:widowControl w:val="0"/>
        <w:numPr>
          <w:ilvl w:val="4"/>
          <w:numId w:val="5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对桥梁墩台沉降变形与梁体竖向变形等进行监测，第一年监测频率不低于1次/6月，第二、三年监测频率不低于1次/年，第三年之后监测频率不低于1次/3年；结构变形与病害不断发展的重点区段，应加密结构变形监测频率及监测点位；保护区内存在工程建设活动的相应区段应按规定开展监测；</w:t>
      </w:r>
    </w:p>
    <w:p>
      <w:pPr>
        <w:keepNext w:val="0"/>
        <w:keepLines w:val="0"/>
        <w:pageBreakBefore w:val="0"/>
        <w:widowControl w:val="0"/>
        <w:numPr>
          <w:ilvl w:val="4"/>
          <w:numId w:val="5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每年应开展桥梁钢结构等金属构件的防腐除锈、焊缝补焊、老化失效附属设施构件加固或更换，混凝土表面修补，裂缝修补，</w:t>
      </w:r>
      <w:r>
        <w:rPr>
          <w:rFonts w:hint="eastAsia" w:ascii="宋体" w:hAnsi="Times New Roman" w:eastAsia="宋体" w:cs="Times New Roman"/>
          <w:highlight w:val="none"/>
        </w:rPr>
        <w:t>支座</w:t>
      </w:r>
      <w:r>
        <w:rPr>
          <w:rFonts w:hint="eastAsia" w:ascii="宋体" w:hAnsi="Times New Roman" w:eastAsia="宋体" w:cs="Times New Roman"/>
          <w:highlight w:val="none"/>
          <w:lang w:eastAsia="zh-CN"/>
        </w:rPr>
        <w:t>螺栓拧紧</w:t>
      </w:r>
      <w:r>
        <w:rPr>
          <w:rFonts w:hint="eastAsia" w:ascii="宋体" w:hAnsi="Times New Roman" w:cs="Times New Roman"/>
          <w:highlight w:val="none"/>
          <w:lang w:eastAsia="zh-CN"/>
        </w:rPr>
        <w:t>、</w:t>
      </w:r>
      <w:r>
        <w:rPr>
          <w:rFonts w:hint="eastAsia" w:ascii="宋体" w:hAnsi="宋体" w:eastAsia="宋体" w:cs="Times New Roman"/>
          <w:highlight w:val="none"/>
          <w:lang w:val="en-US" w:eastAsia="zh-CN"/>
        </w:rPr>
        <w:t>涂油养护；及时对破损、缺损桥梁防撞防护设施进行修复；</w:t>
      </w:r>
    </w:p>
    <w:p>
      <w:pPr>
        <w:keepNext w:val="0"/>
        <w:keepLines w:val="0"/>
        <w:pageBreakBefore w:val="0"/>
        <w:widowControl w:val="0"/>
        <w:numPr>
          <w:ilvl w:val="4"/>
          <w:numId w:val="5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桥梁变形超限，出现严重病害，或外力撞击、火灾、受到工程活动较大影响时，应开展结构状态专项检测，必要时应采取加强监测、加固治理与应急抢修等处置措施。</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桥梁疏散平台、排水设施、护栏、防撞与警示、防护网等附属设施保持状态正常，固定牢固，完整有效。</w:t>
      </w:r>
      <w:r>
        <w:rPr>
          <w:rFonts w:hint="eastAsia" w:ascii="宋体" w:hAnsi="宋体" w:eastAsia="宋体" w:cs="宋体"/>
          <w:lang w:eastAsia="zh-CN"/>
        </w:rPr>
        <w:t>评估</w:t>
      </w:r>
      <w:r>
        <w:rPr>
          <w:rFonts w:hint="eastAsia" w:ascii="宋体" w:hAnsi="宋体" w:eastAsia="宋体" w:cs="宋体"/>
          <w:lang w:val="en-US" w:eastAsia="zh-CN"/>
        </w:rPr>
        <w:t>时应核查是否满足下列要求</w:t>
      </w:r>
      <w:r>
        <w:rPr>
          <w:rFonts w:hint="eastAsia" w:ascii="宋体" w:hAnsi="宋体" w:eastAsia="宋体" w:cs="宋体"/>
          <w:lang w:eastAsia="zh-CN"/>
        </w:rPr>
        <w:t>：</w:t>
      </w:r>
    </w:p>
    <w:p>
      <w:pPr>
        <w:keepNext w:val="0"/>
        <w:keepLines w:val="0"/>
        <w:pageBreakBefore w:val="0"/>
        <w:widowControl w:val="0"/>
        <w:numPr>
          <w:ilvl w:val="4"/>
          <w:numId w:val="5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对桥梁附属设施进行巡查，巡查频率不低于1次/月；巡查内容应包括疏散平台松动、翘起、凹陷、缺失，护栏松动、摇晃，钢构件锈蚀等情况；排水设施通畅情况；防撞、警示、防护等设施状态；避免附属设施失效导致的坠落、侵限、撞击、人员入侵等风险；</w:t>
      </w:r>
    </w:p>
    <w:p>
      <w:pPr>
        <w:keepNext w:val="0"/>
        <w:keepLines w:val="0"/>
        <w:pageBreakBefore w:val="0"/>
        <w:widowControl w:val="0"/>
        <w:numPr>
          <w:ilvl w:val="4"/>
          <w:numId w:val="5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对桥梁附属设施进行养护维护，每年开展金属构件的防腐除锈、焊缝补焊、老化失效附属设施构件加固或更换；每半年进行排水管淤塞疏通清理；及时对护栏、疏散平台松脱构件进行紧固；及时对破损、缺损桥梁防撞防护、警示及防护设施进行修复。</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轨道梁线型应保持平顺完好，几何状态符合规定，满足安全行车要求</w:t>
      </w:r>
      <w:r>
        <w:rPr>
          <w:rFonts w:hint="eastAsia" w:ascii="宋体" w:hAnsi="宋体" w:eastAsia="宋体" w:cs="宋体"/>
          <w:lang w:eastAsia="zh-CN"/>
        </w:rPr>
        <w:t>。评估时应核查</w:t>
      </w:r>
      <w:r>
        <w:rPr>
          <w:rFonts w:hint="eastAsia" w:ascii="宋体" w:hAnsi="宋体" w:eastAsia="宋体" w:cs="宋体"/>
        </w:rPr>
        <w:t>轨道梁日常保养内容</w:t>
      </w:r>
      <w:r>
        <w:rPr>
          <w:rFonts w:hint="eastAsia" w:ascii="宋体" w:hAnsi="宋体" w:eastAsia="宋体" w:cs="宋体"/>
          <w:lang w:eastAsia="zh-CN"/>
        </w:rPr>
        <w:t>是否</w:t>
      </w:r>
      <w:r>
        <w:rPr>
          <w:rFonts w:hint="eastAsia" w:ascii="宋体" w:hAnsi="宋体" w:eastAsia="宋体" w:cs="宋体"/>
        </w:rPr>
        <w:t>包含轨道梁</w:t>
      </w:r>
      <w:r>
        <w:rPr>
          <w:rFonts w:hint="eastAsia" w:ascii="宋体" w:hAnsi="宋体" w:eastAsia="宋体" w:cs="宋体"/>
          <w:lang w:eastAsia="zh-CN"/>
        </w:rPr>
        <w:t>的</w:t>
      </w:r>
      <w:r>
        <w:rPr>
          <w:rFonts w:hint="eastAsia" w:ascii="宋体" w:hAnsi="宋体" w:eastAsia="宋体" w:cs="宋体"/>
        </w:rPr>
        <w:t>除锈、修补或更换零配件；</w:t>
      </w:r>
      <w:r>
        <w:rPr>
          <w:rFonts w:hint="eastAsia" w:ascii="宋体" w:hAnsi="宋体" w:eastAsia="宋体" w:cs="宋体"/>
          <w:lang w:eastAsia="zh-CN"/>
        </w:rPr>
        <w:t>核查是否</w:t>
      </w:r>
      <w:r>
        <w:rPr>
          <w:rFonts w:hint="eastAsia" w:ascii="宋体" w:hAnsi="宋体" w:eastAsia="宋体" w:cs="宋体"/>
        </w:rPr>
        <w:t>及时修整超限或不良处所，调整轨道梁几何尺寸</w:t>
      </w:r>
      <w:r>
        <w:rPr>
          <w:rFonts w:hint="eastAsia" w:ascii="宋体" w:hAnsi="宋体" w:eastAsia="宋体" w:cs="宋体"/>
          <w:lang w:eastAsia="zh-CN"/>
        </w:rPr>
        <w:t>等</w:t>
      </w:r>
      <w:r>
        <w:rPr>
          <w:rFonts w:hint="eastAsia" w:ascii="宋体" w:hAnsi="宋体" w:eastAsia="宋体" w:cs="宋体"/>
        </w:rPr>
        <w:t>。</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查阅规程文件、主体结构变形监测数据</w:t>
      </w:r>
      <w:r>
        <w:rPr>
          <w:rFonts w:hint="eastAsia" w:ascii="宋体" w:hAnsi="宋体" w:eastAsia="宋体" w:cs="宋体"/>
          <w:lang w:eastAsia="zh-CN"/>
        </w:rPr>
        <w:t>等</w:t>
      </w:r>
      <w:r>
        <w:rPr>
          <w:rFonts w:hint="eastAsia" w:ascii="宋体" w:hAnsi="宋体" w:eastAsia="宋体" w:cs="宋体"/>
        </w:rPr>
        <w:t>，核查</w:t>
      </w:r>
      <w:r>
        <w:rPr>
          <w:rFonts w:hint="eastAsia" w:ascii="宋体" w:hAnsi="宋体" w:eastAsia="宋体" w:cs="宋体"/>
          <w:lang w:val="en-US" w:eastAsia="zh-CN"/>
        </w:rPr>
        <w:t>相关要求</w:t>
      </w:r>
      <w:r>
        <w:rPr>
          <w:rFonts w:hint="eastAsia" w:ascii="宋体" w:hAnsi="宋体" w:eastAsia="宋体" w:cs="宋体"/>
        </w:rPr>
        <w:t>已落实到维护保养相关岗位职责和</w:t>
      </w:r>
      <w:r>
        <w:rPr>
          <w:rFonts w:hint="eastAsia" w:ascii="宋体" w:hAnsi="宋体" w:eastAsia="宋体" w:cs="宋体"/>
          <w:lang w:eastAsia="zh-CN"/>
        </w:rPr>
        <w:t>维护规程。</w:t>
      </w:r>
      <w:r>
        <w:rPr>
          <w:rFonts w:hint="eastAsia" w:ascii="宋体" w:hAnsi="宋体" w:eastAsia="宋体" w:cs="宋体"/>
        </w:rPr>
        <w:t>至少抽取</w:t>
      </w:r>
      <w:r>
        <w:rPr>
          <w:rFonts w:hint="eastAsia" w:ascii="宋体" w:hAnsi="宋体" w:eastAsia="宋体" w:cs="宋体"/>
          <w:lang w:eastAsia="zh-CN"/>
        </w:rPr>
        <w:t>主体结构</w:t>
      </w:r>
      <w:r>
        <w:rPr>
          <w:rFonts w:hint="eastAsia" w:ascii="宋体" w:hAnsi="宋体" w:eastAsia="宋体" w:cs="宋体"/>
        </w:rPr>
        <w:t>变形较大的2个区间开展现场查勘。</w:t>
      </w:r>
    </w:p>
    <w:p>
      <w:pPr>
        <w:pStyle w:val="67"/>
        <w:bidi w:val="0"/>
        <w:ind w:left="0" w:leftChars="0" w:firstLine="0" w:firstLineChars="0"/>
        <w:rPr>
          <w:rFonts w:hint="eastAsia" w:hAnsi="Times New Roman" w:cs="Times New Roman"/>
        </w:rPr>
      </w:pPr>
      <w:bookmarkStart w:id="198" w:name="_Toc7412"/>
      <w:r>
        <w:rPr>
          <w:rFonts w:hint="eastAsia" w:hAnsi="Times New Roman" w:cs="Times New Roman"/>
        </w:rPr>
        <w:t>车站</w:t>
      </w:r>
      <w:bookmarkEnd w:id="198"/>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车站房建结构应状态良好，结构强度与刚度符合安全运营要求，结构损伤应在控制允许范围内。</w:t>
      </w:r>
      <w:r>
        <w:rPr>
          <w:rFonts w:hint="eastAsia" w:ascii="宋体" w:hAnsi="宋体" w:eastAsia="宋体" w:cs="宋体"/>
          <w:lang w:eastAsia="zh-CN"/>
        </w:rPr>
        <w:t>评估</w:t>
      </w:r>
      <w:r>
        <w:rPr>
          <w:rFonts w:hint="eastAsia" w:ascii="宋体" w:hAnsi="宋体" w:eastAsia="宋体" w:cs="宋体"/>
          <w:lang w:val="en-US" w:eastAsia="zh-CN"/>
        </w:rPr>
        <w:t>时应核查是否满足下列要求</w:t>
      </w:r>
      <w:r>
        <w:rPr>
          <w:rFonts w:hint="eastAsia" w:ascii="宋体" w:hAnsi="宋体" w:eastAsia="宋体" w:cs="宋体"/>
          <w:lang w:eastAsia="zh-CN"/>
        </w:rPr>
        <w:t>：</w:t>
      </w:r>
    </w:p>
    <w:p>
      <w:pPr>
        <w:keepNext w:val="0"/>
        <w:keepLines w:val="0"/>
        <w:pageBreakBefore w:val="0"/>
        <w:widowControl w:val="0"/>
        <w:numPr>
          <w:ilvl w:val="4"/>
          <w:numId w:val="6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应针对主体结构进行沉降监测；</w:t>
      </w:r>
    </w:p>
    <w:p>
      <w:pPr>
        <w:keepNext w:val="0"/>
        <w:keepLines w:val="0"/>
        <w:pageBreakBefore w:val="0"/>
        <w:widowControl w:val="0"/>
        <w:numPr>
          <w:ilvl w:val="4"/>
          <w:numId w:val="6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检查房建结构锈蚀、变形、开裂、沉降和结构渗漏等严重病害。</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车站建筑装饰、楼梯、栏杆应保持状态正常，固定牢固，完整有效。</w:t>
      </w:r>
      <w:r>
        <w:rPr>
          <w:rFonts w:hint="eastAsia" w:ascii="宋体" w:hAnsi="宋体" w:eastAsia="宋体" w:cs="宋体"/>
          <w:lang w:eastAsia="zh-CN"/>
        </w:rPr>
        <w:t>评估</w:t>
      </w:r>
      <w:r>
        <w:rPr>
          <w:rFonts w:hint="eastAsia" w:ascii="宋体" w:hAnsi="宋体" w:eastAsia="宋体" w:cs="宋体"/>
          <w:lang w:val="en-US" w:eastAsia="zh-CN"/>
        </w:rPr>
        <w:t>时应核查是否满足下列要求</w:t>
      </w:r>
      <w:r>
        <w:rPr>
          <w:rFonts w:hint="eastAsia" w:ascii="宋体" w:hAnsi="宋体" w:eastAsia="宋体" w:cs="宋体"/>
          <w:lang w:eastAsia="zh-CN"/>
        </w:rPr>
        <w:t>：</w:t>
      </w:r>
    </w:p>
    <w:p>
      <w:pPr>
        <w:keepNext w:val="0"/>
        <w:keepLines w:val="0"/>
        <w:pageBreakBefore w:val="0"/>
        <w:widowControl w:val="0"/>
        <w:numPr>
          <w:ilvl w:val="4"/>
          <w:numId w:val="6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车站顶面、高出墙面的各类装饰及附属悬挂物应纳入车站巡查内容，松脱、晃动等异常情况应及时报告和维护；</w:t>
      </w:r>
    </w:p>
    <w:p>
      <w:pPr>
        <w:keepNext w:val="0"/>
        <w:keepLines w:val="0"/>
        <w:pageBreakBefore w:val="0"/>
        <w:widowControl w:val="0"/>
        <w:numPr>
          <w:ilvl w:val="4"/>
          <w:numId w:val="6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汛期或恶劣天气预警时，应对车站顶面、屋面、高出墙体墙面的装饰及附属悬挂物等进行普查与紧固；</w:t>
      </w:r>
    </w:p>
    <w:p>
      <w:pPr>
        <w:keepNext w:val="0"/>
        <w:keepLines w:val="0"/>
        <w:pageBreakBefore w:val="0"/>
        <w:widowControl w:val="0"/>
        <w:numPr>
          <w:ilvl w:val="4"/>
          <w:numId w:val="6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车站装饰面及悬挂物出现松动晃动，其修复前应在影响范围内设置临时防护与警示设施，必要时安排人员防护。</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车站防淹和排水设施状态完好，满足防洪要求。</w:t>
      </w:r>
      <w:r>
        <w:rPr>
          <w:rFonts w:hint="eastAsia" w:ascii="宋体" w:hAnsi="宋体" w:eastAsia="宋体" w:cs="宋体"/>
          <w:lang w:eastAsia="zh-CN"/>
        </w:rPr>
        <w:t>评估</w:t>
      </w:r>
      <w:r>
        <w:rPr>
          <w:rFonts w:hint="eastAsia" w:ascii="宋体" w:hAnsi="宋体" w:eastAsia="宋体" w:cs="宋体"/>
          <w:lang w:val="en-US" w:eastAsia="zh-CN"/>
        </w:rPr>
        <w:t>时应核查是否满足下列要求</w:t>
      </w:r>
      <w:r>
        <w:rPr>
          <w:rFonts w:hint="eastAsia" w:ascii="宋体" w:hAnsi="宋体" w:eastAsia="宋体" w:cs="宋体"/>
          <w:lang w:eastAsia="zh-CN"/>
        </w:rPr>
        <w:t>：</w:t>
      </w:r>
    </w:p>
    <w:p>
      <w:pPr>
        <w:keepNext w:val="0"/>
        <w:keepLines w:val="0"/>
        <w:pageBreakBefore w:val="0"/>
        <w:widowControl w:val="0"/>
        <w:numPr>
          <w:ilvl w:val="4"/>
          <w:numId w:val="6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车站沙袋、防洪挡板等防汛设施数量足够、位置合适、状态完好；</w:t>
      </w:r>
    </w:p>
    <w:p>
      <w:pPr>
        <w:keepNext w:val="0"/>
        <w:keepLines w:val="0"/>
        <w:pageBreakBefore w:val="0"/>
        <w:widowControl w:val="0"/>
        <w:numPr>
          <w:ilvl w:val="4"/>
          <w:numId w:val="6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车站的排水设施状态完好；</w:t>
      </w:r>
    </w:p>
    <w:p>
      <w:pPr>
        <w:keepNext w:val="0"/>
        <w:keepLines w:val="0"/>
        <w:pageBreakBefore w:val="0"/>
        <w:widowControl w:val="0"/>
        <w:numPr>
          <w:ilvl w:val="4"/>
          <w:numId w:val="6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汛期或暴雨、台风等恶劣天气预警时，车站或相关专业维护人员应加强巡查，发现汛情及时采取措施。</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查阅规程文件</w:t>
      </w:r>
      <w:r>
        <w:rPr>
          <w:rFonts w:hint="eastAsia" w:ascii="宋体" w:hAnsi="宋体" w:eastAsia="宋体" w:cs="宋体"/>
          <w:lang w:val="en-US" w:eastAsia="zh-CN"/>
        </w:rPr>
        <w:t>与巡查养护记录</w:t>
      </w:r>
      <w:r>
        <w:rPr>
          <w:rFonts w:hint="eastAsia" w:ascii="宋体" w:hAnsi="宋体" w:eastAsia="宋体" w:cs="宋体"/>
        </w:rPr>
        <w:t>，核查</w:t>
      </w:r>
      <w:r>
        <w:rPr>
          <w:rFonts w:hint="eastAsia" w:ascii="宋体" w:hAnsi="宋体" w:eastAsia="宋体" w:cs="宋体"/>
          <w:lang w:val="en-US" w:eastAsia="zh-CN"/>
        </w:rPr>
        <w:t>相关要求</w:t>
      </w:r>
      <w:r>
        <w:rPr>
          <w:rFonts w:hint="eastAsia" w:ascii="宋体" w:hAnsi="宋体" w:eastAsia="宋体" w:cs="宋体"/>
        </w:rPr>
        <w:t>已落实到维护保养相关岗位职责和</w:t>
      </w:r>
      <w:r>
        <w:rPr>
          <w:rFonts w:hint="eastAsia" w:ascii="宋体" w:hAnsi="宋体" w:eastAsia="宋体" w:cs="宋体"/>
          <w:lang w:eastAsia="zh-CN"/>
        </w:rPr>
        <w:t>维护规程</w:t>
      </w:r>
      <w:r>
        <w:rPr>
          <w:rFonts w:hint="eastAsia" w:ascii="宋体" w:hAnsi="宋体" w:eastAsia="宋体" w:cs="宋体"/>
        </w:rPr>
        <w:t>。至少抽取2</w:t>
      </w:r>
      <w:r>
        <w:rPr>
          <w:rFonts w:hint="eastAsia" w:ascii="宋体" w:hAnsi="宋体" w:eastAsia="宋体" w:cs="宋体"/>
          <w:lang w:eastAsia="zh-CN"/>
        </w:rPr>
        <w:t>座</w:t>
      </w:r>
      <w:r>
        <w:rPr>
          <w:rFonts w:hint="eastAsia" w:ascii="宋体" w:hAnsi="宋体" w:eastAsia="宋体" w:cs="宋体"/>
          <w:lang w:val="en-US" w:eastAsia="zh-CN"/>
        </w:rPr>
        <w:t>车站</w:t>
      </w:r>
      <w:r>
        <w:rPr>
          <w:rFonts w:hint="eastAsia" w:ascii="宋体" w:hAnsi="宋体" w:eastAsia="宋体" w:cs="宋体"/>
        </w:rPr>
        <w:t>开展现场查勘</w:t>
      </w:r>
      <w:r>
        <w:rPr>
          <w:rFonts w:hint="eastAsia" w:ascii="宋体" w:hAnsi="宋体" w:eastAsia="宋体" w:cs="宋体"/>
          <w:lang w:eastAsia="zh-CN"/>
        </w:rPr>
        <w:t>。</w:t>
      </w:r>
    </w:p>
    <w:p>
      <w:pPr>
        <w:pStyle w:val="67"/>
        <w:bidi w:val="0"/>
        <w:ind w:left="0" w:leftChars="0" w:firstLine="0" w:firstLineChars="0"/>
        <w:rPr>
          <w:rFonts w:hint="eastAsia" w:hAnsi="Times New Roman" w:cs="Times New Roman"/>
        </w:rPr>
      </w:pPr>
      <w:bookmarkStart w:id="199" w:name="_Toc20149"/>
      <w:r>
        <w:rPr>
          <w:rFonts w:hint="eastAsia" w:hAnsi="Times New Roman" w:cs="Times New Roman"/>
        </w:rPr>
        <w:t>综合车场和控制中心</w:t>
      </w:r>
      <w:bookmarkEnd w:id="199"/>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综合车场和控制中心房建结构应保持状态良好，结构强度与刚度符合安全运营要求，结构损伤应在控制允许范围内。具体评估要求参照9.2.2.1条执行。</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综合车场检修平台应结构稳定，状态完好。</w:t>
      </w:r>
      <w:r>
        <w:rPr>
          <w:rFonts w:hint="eastAsia" w:ascii="宋体" w:hAnsi="宋体" w:eastAsia="宋体" w:cs="宋体"/>
          <w:lang w:eastAsia="zh-CN"/>
        </w:rPr>
        <w:t>评估</w:t>
      </w:r>
      <w:r>
        <w:rPr>
          <w:rFonts w:hint="eastAsia" w:ascii="宋体" w:hAnsi="宋体" w:eastAsia="宋体" w:cs="宋体"/>
          <w:lang w:val="en-US" w:eastAsia="zh-CN"/>
        </w:rPr>
        <w:t>时应核查是否满足下列要求</w:t>
      </w:r>
      <w:r>
        <w:rPr>
          <w:rFonts w:hint="eastAsia" w:ascii="宋体" w:hAnsi="宋体" w:eastAsia="宋体" w:cs="宋体"/>
          <w:lang w:eastAsia="zh-CN"/>
        </w:rPr>
        <w:t>：</w:t>
      </w:r>
    </w:p>
    <w:p>
      <w:pPr>
        <w:keepNext w:val="0"/>
        <w:keepLines w:val="0"/>
        <w:pageBreakBefore w:val="0"/>
        <w:widowControl w:val="0"/>
        <w:numPr>
          <w:ilvl w:val="4"/>
          <w:numId w:val="6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应针对检修平台坠落和检修触电风险，在相关制度规程中制定风险管控措施；</w:t>
      </w:r>
    </w:p>
    <w:p>
      <w:pPr>
        <w:keepNext w:val="0"/>
        <w:keepLines w:val="0"/>
        <w:pageBreakBefore w:val="0"/>
        <w:widowControl w:val="0"/>
        <w:numPr>
          <w:ilvl w:val="4"/>
          <w:numId w:val="6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应对检修平台进行巡查维护，及时开展金属构件的防腐除锈、焊缝补焊、老化失效附属设施构件加固或更换；</w:t>
      </w:r>
    </w:p>
    <w:p>
      <w:pPr>
        <w:keepNext w:val="0"/>
        <w:keepLines w:val="0"/>
        <w:pageBreakBefore w:val="0"/>
        <w:widowControl w:val="0"/>
        <w:numPr>
          <w:ilvl w:val="4"/>
          <w:numId w:val="6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应及时对护栏、警示及防护设施进行修复。</w:t>
      </w:r>
    </w:p>
    <w:p>
      <w:pPr>
        <w:pStyle w:val="96"/>
        <w:keepNext w:val="0"/>
        <w:keepLines w:val="0"/>
        <w:pageBreakBefore w:val="0"/>
        <w:widowControl/>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rPr>
      </w:pPr>
      <w:r>
        <w:rPr>
          <w:rFonts w:hint="eastAsia" w:ascii="宋体" w:hAnsi="宋体" w:eastAsia="宋体" w:cs="宋体"/>
        </w:rPr>
        <w:t>查阅规程文件</w:t>
      </w:r>
      <w:r>
        <w:rPr>
          <w:rFonts w:hint="eastAsia" w:ascii="宋体" w:hAnsi="宋体" w:eastAsia="宋体" w:cs="宋体"/>
          <w:lang w:val="en-US" w:eastAsia="zh-CN"/>
        </w:rPr>
        <w:t>与巡查养护记录</w:t>
      </w:r>
      <w:r>
        <w:rPr>
          <w:rFonts w:hint="eastAsia" w:ascii="宋体" w:hAnsi="宋体" w:eastAsia="宋体" w:cs="宋体"/>
        </w:rPr>
        <w:t>，核查</w:t>
      </w:r>
      <w:r>
        <w:rPr>
          <w:rFonts w:hint="eastAsia" w:ascii="宋体" w:hAnsi="宋体" w:eastAsia="宋体" w:cs="宋体"/>
          <w:lang w:val="en-US" w:eastAsia="zh-CN"/>
        </w:rPr>
        <w:t>相关要求</w:t>
      </w:r>
      <w:r>
        <w:rPr>
          <w:rFonts w:hint="eastAsia" w:ascii="宋体" w:hAnsi="宋体" w:eastAsia="宋体" w:cs="宋体"/>
        </w:rPr>
        <w:t>已落实到维护保养相关岗位职责和</w:t>
      </w:r>
      <w:r>
        <w:rPr>
          <w:rFonts w:hint="eastAsia" w:ascii="宋体" w:hAnsi="宋体" w:eastAsia="宋体" w:cs="宋体"/>
          <w:lang w:eastAsia="zh-CN"/>
        </w:rPr>
        <w:t>维护规程</w:t>
      </w:r>
      <w:r>
        <w:rPr>
          <w:rFonts w:hint="eastAsia" w:ascii="宋体" w:hAnsi="宋体" w:eastAsia="宋体" w:cs="宋体"/>
        </w:rPr>
        <w:t>。</w:t>
      </w:r>
    </w:p>
    <w:p>
      <w:pPr>
        <w:pStyle w:val="107"/>
        <w:spacing w:before="120" w:after="120"/>
        <w:rPr>
          <w:rFonts w:hint="eastAsia" w:hAnsi="Times New Roman" w:cs="Times New Roman"/>
        </w:rPr>
      </w:pPr>
      <w:bookmarkStart w:id="200" w:name="_Toc11535"/>
      <w:bookmarkStart w:id="201" w:name="_Toc23135"/>
      <w:bookmarkStart w:id="202" w:name="_Toc3185"/>
      <w:bookmarkStart w:id="203" w:name="_Toc2060"/>
      <w:bookmarkStart w:id="204" w:name="_Toc14371"/>
      <w:r>
        <w:rPr>
          <w:rFonts w:hint="eastAsia" w:hAnsi="Times New Roman" w:cs="Times New Roman"/>
        </w:rPr>
        <w:t>车辆</w:t>
      </w:r>
      <w:bookmarkEnd w:id="200"/>
      <w:bookmarkEnd w:id="201"/>
      <w:bookmarkEnd w:id="202"/>
      <w:bookmarkEnd w:id="203"/>
      <w:bookmarkEnd w:id="20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205" w:name="_Toc3325"/>
      <w:bookmarkStart w:id="206" w:name="_Toc16250"/>
      <w:bookmarkStart w:id="207" w:name="_Toc86419526"/>
      <w:r>
        <w:rPr>
          <w:rFonts w:hint="eastAsia" w:ascii="宋体" w:hAnsi="宋体" w:eastAsia="宋体" w:cs="宋体"/>
          <w:lang w:eastAsia="zh-CN"/>
        </w:rPr>
        <w:t>车辆制动、超速防护、车门安全联锁等安全功能的状态完好，运行有效。评估内容如下：</w:t>
      </w:r>
      <w:bookmarkEnd w:id="205"/>
    </w:p>
    <w:p>
      <w:pPr>
        <w:keepNext w:val="0"/>
        <w:keepLines w:val="0"/>
        <w:pageBreakBefore w:val="0"/>
        <w:widowControl w:val="0"/>
        <w:numPr>
          <w:ilvl w:val="4"/>
          <w:numId w:val="6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宋体"/>
          <w:highlight w:val="none"/>
          <w:lang w:val="en-US" w:eastAsia="zh-CN"/>
        </w:rPr>
      </w:pPr>
      <w:r>
        <w:rPr>
          <w:rFonts w:hint="eastAsia" w:ascii="宋体" w:hAnsi="宋体" w:eastAsia="宋体" w:cs="宋体"/>
          <w:sz w:val="21"/>
          <w:szCs w:val="21"/>
          <w:highlight w:val="none"/>
          <w:lang w:val="en-US" w:eastAsia="zh-CN"/>
        </w:rPr>
        <w:t>检查车辆制动、车门是否按照车辆</w:t>
      </w:r>
      <w:r>
        <w:rPr>
          <w:rFonts w:hint="eastAsia" w:ascii="宋体" w:hAnsi="宋体" w:cs="宋体"/>
          <w:sz w:val="21"/>
          <w:szCs w:val="21"/>
          <w:highlight w:val="none"/>
          <w:lang w:val="en-US" w:eastAsia="zh-CN"/>
        </w:rPr>
        <w:t>维护</w:t>
      </w:r>
      <w:r>
        <w:rPr>
          <w:rFonts w:hint="eastAsia" w:ascii="宋体" w:hAnsi="宋体" w:eastAsia="宋体" w:cs="宋体"/>
          <w:sz w:val="21"/>
          <w:szCs w:val="21"/>
          <w:highlight w:val="none"/>
          <w:lang w:val="en-US" w:eastAsia="zh-CN"/>
        </w:rPr>
        <w:t>规程相关内容进行检修</w:t>
      </w:r>
      <w:r>
        <w:rPr>
          <w:rFonts w:hint="eastAsia" w:ascii="宋体" w:hAnsi="宋体" w:cs="宋体"/>
          <w:sz w:val="21"/>
          <w:szCs w:val="21"/>
          <w:highlight w:val="none"/>
          <w:lang w:val="en-US" w:eastAsia="zh-CN"/>
        </w:rPr>
        <w:t>；</w:t>
      </w:r>
    </w:p>
    <w:p>
      <w:pPr>
        <w:keepNext w:val="0"/>
        <w:keepLines w:val="0"/>
        <w:pageBreakBefore w:val="0"/>
        <w:widowControl w:val="0"/>
        <w:numPr>
          <w:ilvl w:val="4"/>
          <w:numId w:val="6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车辆初期运营期间的运行状态分析报告，抽查2列车6个月运行与故障维修记录，对于初期运营期间因车辆制动能力、超速运行、车门安全联锁等功能失效频繁导致故障或发生运营险性事件的，可开展相关功能的测试复核工作。</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208" w:name="_Toc24355"/>
      <w:r>
        <w:rPr>
          <w:rFonts w:hint="eastAsia" w:ascii="宋体" w:hAnsi="宋体" w:eastAsia="宋体" w:cs="宋体"/>
          <w:lang w:eastAsia="zh-CN"/>
        </w:rPr>
        <w:t>车辆紧急报警装置、车门紧急解锁装置、逃生门等乘客应急设备功能正常，运行有效。评估内容如下：</w:t>
      </w:r>
      <w:bookmarkEnd w:id="208"/>
    </w:p>
    <w:p>
      <w:pPr>
        <w:keepNext w:val="0"/>
        <w:keepLines w:val="0"/>
        <w:pageBreakBefore w:val="0"/>
        <w:widowControl w:val="0"/>
        <w:numPr>
          <w:ilvl w:val="4"/>
          <w:numId w:val="6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查阅车辆</w:t>
      </w:r>
      <w:r>
        <w:rPr>
          <w:rFonts w:hint="default" w:ascii="宋体" w:hAnsi="宋体" w:eastAsia="宋体" w:cs="Times New Roman"/>
          <w:highlight w:val="none"/>
          <w:lang w:val="en-US" w:eastAsia="zh-CN"/>
        </w:rPr>
        <w:t>维护</w:t>
      </w:r>
      <w:r>
        <w:rPr>
          <w:rFonts w:hint="eastAsia" w:ascii="宋体" w:hAnsi="宋体" w:eastAsia="宋体" w:cs="Times New Roman"/>
          <w:highlight w:val="none"/>
          <w:lang w:val="en-US" w:eastAsia="zh-CN"/>
        </w:rPr>
        <w:t>规程，针对车辆运行过程中存在的乘客应急设备失效可能影响应急疏散的风险，核查是否包括乘客应急设备功能的测试与试验、维护要求；</w:t>
      </w:r>
    </w:p>
    <w:p>
      <w:pPr>
        <w:keepNext w:val="0"/>
        <w:keepLines w:val="0"/>
        <w:pageBreakBefore w:val="0"/>
        <w:widowControl w:val="0"/>
        <w:numPr>
          <w:ilvl w:val="4"/>
          <w:numId w:val="6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抽取1列车乘客应急设备进行功能测试，核查是否满足下列要求：</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车辆紧急报警装置工作正常，紧急报警装置应具有控制中心与乘客的双向视频通话功能；</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车门紧急解锁装置功能正常；</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逃生门能够正常启用，满足人员疏散要求。</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209" w:name="_Toc16897"/>
      <w:r>
        <w:rPr>
          <w:rFonts w:hint="default" w:ascii="宋体" w:hAnsi="宋体" w:eastAsia="宋体" w:cs="宋体"/>
          <w:lang w:eastAsia="zh-CN"/>
        </w:rPr>
        <w:t>车辆维护应符合维护规程，确保车辆功能完好、性能稳定、运行正常。</w:t>
      </w:r>
      <w:r>
        <w:rPr>
          <w:rFonts w:hint="eastAsia" w:ascii="宋体" w:hAnsi="宋体" w:eastAsia="宋体" w:cs="宋体"/>
          <w:lang w:val="en-US" w:eastAsia="zh-CN"/>
        </w:rPr>
        <w:t>评估时应</w:t>
      </w:r>
      <w:r>
        <w:rPr>
          <w:rFonts w:hint="eastAsia" w:ascii="宋体" w:hAnsi="宋体" w:eastAsia="宋体" w:cs="宋体"/>
          <w:lang w:eastAsia="zh-CN"/>
        </w:rPr>
        <w:t>抽查</w:t>
      </w:r>
      <w:r>
        <w:rPr>
          <w:rFonts w:hint="eastAsia" w:ascii="宋体" w:hAnsi="宋体" w:eastAsia="宋体" w:cs="宋体"/>
          <w:lang w:val="en-US" w:eastAsia="zh-CN"/>
        </w:rPr>
        <w:t>2</w:t>
      </w:r>
      <w:r>
        <w:rPr>
          <w:rFonts w:hint="eastAsia" w:ascii="宋体" w:hAnsi="宋体" w:eastAsia="宋体" w:cs="宋体"/>
          <w:lang w:eastAsia="zh-CN"/>
        </w:rPr>
        <w:t>列车6个月运行与故障维护记录，核查维护保养内容落实情况。</w:t>
      </w:r>
      <w:bookmarkEnd w:id="209"/>
    </w:p>
    <w:bookmarkEnd w:id="206"/>
    <w:bookmarkEnd w:id="207"/>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210" w:name="_Toc27877"/>
      <w:bookmarkStart w:id="211" w:name="_Toc32041"/>
      <w:r>
        <w:rPr>
          <w:rFonts w:hint="eastAsia" w:ascii="宋体" w:hAnsi="宋体" w:eastAsia="宋体" w:cs="宋体"/>
          <w:lang w:eastAsia="zh-CN"/>
        </w:rPr>
        <w:t>工程车、洗车机等工艺设备应功能完好、性能稳定、运行正常。评估内容如下：</w:t>
      </w:r>
      <w:bookmarkEnd w:id="210"/>
    </w:p>
    <w:p>
      <w:pPr>
        <w:keepNext w:val="0"/>
        <w:keepLines w:val="0"/>
        <w:pageBreakBefore w:val="0"/>
        <w:widowControl w:val="0"/>
        <w:numPr>
          <w:ilvl w:val="4"/>
          <w:numId w:val="6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bookmarkStart w:id="212" w:name="_Toc8294"/>
      <w:bookmarkStart w:id="213" w:name="_Toc25031"/>
      <w:r>
        <w:rPr>
          <w:rFonts w:hint="eastAsia" w:ascii="宋体" w:hAnsi="宋体" w:eastAsia="宋体" w:cs="Times New Roman"/>
          <w:highlight w:val="none"/>
          <w:lang w:val="en-US" w:eastAsia="zh-CN"/>
        </w:rPr>
        <w:t>查阅工程车维护规程，查阅线路1辆工程车6个月的维护台账，核查是否满足下列要求：</w:t>
      </w:r>
      <w:bookmarkEnd w:id="212"/>
      <w:bookmarkEnd w:id="213"/>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工程车作业平台、作业互锁安全保护功能运行状态完好。进行高空作业平台、梁下作业平台作业时，工程车有安全互锁功能，保障车辆无法动车；</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工程车维护规程细化到车体、驾驶室、车钩、转向架、空调、牵引系统、辅助电源、充电系统、制动系统、动力电池、冷却系统、车上电气、液压控制系统、作业平台、附属设施等。</w:t>
      </w:r>
    </w:p>
    <w:p>
      <w:pPr>
        <w:keepNext w:val="0"/>
        <w:keepLines w:val="0"/>
        <w:pageBreakBefore w:val="0"/>
        <w:widowControl w:val="0"/>
        <w:numPr>
          <w:ilvl w:val="4"/>
          <w:numId w:val="6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bookmarkStart w:id="214" w:name="_Toc2540"/>
      <w:bookmarkStart w:id="215" w:name="_Toc3597"/>
      <w:r>
        <w:rPr>
          <w:rFonts w:hint="eastAsia" w:ascii="宋体" w:hAnsi="宋体" w:eastAsia="宋体" w:cs="Times New Roman"/>
          <w:highlight w:val="none"/>
          <w:lang w:val="en-US" w:eastAsia="zh-CN"/>
        </w:rPr>
        <w:t>查阅洗车机维护规程，</w:t>
      </w:r>
      <w:bookmarkEnd w:id="214"/>
      <w:bookmarkEnd w:id="215"/>
      <w:r>
        <w:rPr>
          <w:rFonts w:hint="eastAsia" w:ascii="宋体" w:hAnsi="宋体" w:eastAsia="宋体" w:cs="Times New Roman"/>
          <w:highlight w:val="none"/>
          <w:lang w:val="en-US" w:eastAsia="zh-CN"/>
        </w:rPr>
        <w:t>模拟检查洗车机操作控制台、现场控制台紧急停机按钮功能完好，测试洗车机的系统保护功能，模拟洗车机发生故障时系统能够紧急停机。</w:t>
      </w:r>
    </w:p>
    <w:bookmarkEnd w:id="211"/>
    <w:p>
      <w:pPr>
        <w:pStyle w:val="107"/>
        <w:spacing w:before="120" w:after="120"/>
        <w:rPr>
          <w:rFonts w:hint="eastAsia" w:hAnsi="Times New Roman" w:cs="Times New Roman"/>
        </w:rPr>
      </w:pPr>
      <w:bookmarkStart w:id="216" w:name="_Toc5454"/>
      <w:bookmarkStart w:id="217" w:name="_Toc4978"/>
      <w:bookmarkStart w:id="218" w:name="_Toc13460"/>
      <w:bookmarkStart w:id="219" w:name="_Toc1676"/>
      <w:bookmarkStart w:id="220" w:name="_Toc13844"/>
      <w:r>
        <w:rPr>
          <w:rFonts w:hint="eastAsia" w:hAnsi="Times New Roman" w:cs="Times New Roman"/>
        </w:rPr>
        <w:t>通信系统</w:t>
      </w:r>
      <w:bookmarkEnd w:id="216"/>
      <w:bookmarkEnd w:id="217"/>
      <w:bookmarkEnd w:id="218"/>
      <w:bookmarkEnd w:id="219"/>
      <w:bookmarkEnd w:id="220"/>
    </w:p>
    <w:p>
      <w:pPr>
        <w:pStyle w:val="67"/>
        <w:widowControl w:val="0"/>
        <w:ind w:firstLine="0" w:firstLineChars="0"/>
        <w:rPr>
          <w:rFonts w:hint="eastAsia" w:ascii="宋体" w:hAnsi="宋体" w:eastAsia="宋体" w:cs="宋体"/>
          <w:sz w:val="21"/>
          <w:szCs w:val="21"/>
          <w:highlight w:val="none"/>
        </w:rPr>
      </w:pPr>
      <w:r>
        <w:rPr>
          <w:rFonts w:hint="eastAsia" w:ascii="宋体" w:hAnsi="宋体" w:eastAsia="宋体" w:cs="宋体"/>
        </w:rPr>
        <w:t>通信</w:t>
      </w:r>
      <w:r>
        <w:rPr>
          <w:rFonts w:hint="eastAsia" w:ascii="宋体" w:hAnsi="宋体" w:eastAsia="宋体" w:cs="宋体"/>
          <w:highlight w:val="none"/>
        </w:rPr>
        <w:t>系统应保持正常、非正常或紧急情况下为运营管理、行车指挥、设备监控、火灾报警等进</w:t>
      </w:r>
      <w:r>
        <w:rPr>
          <w:rFonts w:hint="eastAsia" w:ascii="宋体" w:hAnsi="宋体" w:eastAsia="宋体" w:cs="宋体"/>
          <w:sz w:val="21"/>
          <w:szCs w:val="21"/>
          <w:highlight w:val="none"/>
        </w:rPr>
        <w:t>行语音、数据、图像等信息的传输正常。</w:t>
      </w:r>
      <w:r>
        <w:rPr>
          <w:rFonts w:hint="eastAsia" w:ascii="宋体" w:hAnsi="宋体" w:eastAsia="宋体" w:cs="宋体"/>
          <w:sz w:val="21"/>
          <w:szCs w:val="21"/>
          <w:highlight w:val="none"/>
          <w:lang w:eastAsia="zh-CN"/>
        </w:rPr>
        <w:t>评估内容如下</w:t>
      </w:r>
      <w:r>
        <w:rPr>
          <w:rFonts w:hint="eastAsia" w:ascii="宋体" w:hAnsi="宋体" w:eastAsia="宋体" w:cs="宋体"/>
          <w:sz w:val="21"/>
          <w:szCs w:val="21"/>
          <w:highlight w:val="none"/>
        </w:rPr>
        <w:t>：</w:t>
      </w:r>
    </w:p>
    <w:p>
      <w:pPr>
        <w:keepNext w:val="0"/>
        <w:keepLines w:val="0"/>
        <w:pageBreakBefore w:val="0"/>
        <w:widowControl w:val="0"/>
        <w:numPr>
          <w:ilvl w:val="4"/>
          <w:numId w:val="6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抽查各子系统运行记录、网络管理功能、系统的故障自诊断功能等的运行有效性；</w:t>
      </w:r>
    </w:p>
    <w:p>
      <w:pPr>
        <w:keepNext w:val="0"/>
        <w:keepLines w:val="0"/>
        <w:pageBreakBefore w:val="0"/>
        <w:widowControl w:val="0"/>
        <w:numPr>
          <w:ilvl w:val="4"/>
          <w:numId w:val="6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抽查控制中心对列车、车站进行安全、防灾、紧急疏散广播的功能，广播清晰无杂音；</w:t>
      </w:r>
    </w:p>
    <w:p>
      <w:pPr>
        <w:keepNext w:val="0"/>
        <w:keepLines w:val="0"/>
        <w:pageBreakBefore w:val="0"/>
        <w:widowControl w:val="0"/>
        <w:numPr>
          <w:ilvl w:val="4"/>
          <w:numId w:val="6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现场查勘乘客信息系统灾害模式有效性，工作站可编辑各种报警信息并发布至指定的终端显示屏；</w:t>
      </w:r>
    </w:p>
    <w:p>
      <w:pPr>
        <w:keepNext w:val="0"/>
        <w:keepLines w:val="0"/>
        <w:pageBreakBefore w:val="0"/>
        <w:widowControl w:val="0"/>
        <w:numPr>
          <w:ilvl w:val="4"/>
          <w:numId w:val="6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抽查乘客紧急对讲有效性，对讲过程视频画质清晰流畅、音质清晰无杂音；</w:t>
      </w:r>
    </w:p>
    <w:p>
      <w:pPr>
        <w:keepNext w:val="0"/>
        <w:keepLines w:val="0"/>
        <w:pageBreakBefore w:val="0"/>
        <w:widowControl w:val="0"/>
        <w:numPr>
          <w:ilvl w:val="4"/>
          <w:numId w:val="6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抽查广播、无线对讲、电话、视频监控、乘客紧急对讲等设备的录音、录像存储情况。公共及紧急视频录像保存时间应大于90 d，录音保存时间应大于30 d。</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抽查综合电源系统的后备电源供电时间满足需求；蓄电池外观无变形、漏液，充放电过程温度正常，无过热现象。</w:t>
      </w:r>
    </w:p>
    <w:p>
      <w:pPr>
        <w:pStyle w:val="107"/>
        <w:spacing w:before="120" w:after="120"/>
        <w:rPr>
          <w:rFonts w:hint="eastAsia" w:hAnsi="Times New Roman" w:cs="Times New Roman"/>
        </w:rPr>
      </w:pPr>
      <w:bookmarkStart w:id="221" w:name="_Toc1292"/>
      <w:bookmarkStart w:id="222" w:name="_Toc2778"/>
      <w:bookmarkStart w:id="223" w:name="_Toc4551"/>
      <w:bookmarkStart w:id="224" w:name="_Toc26108"/>
      <w:bookmarkStart w:id="225" w:name="_Toc5397"/>
      <w:r>
        <w:rPr>
          <w:rFonts w:hint="eastAsia" w:hAnsi="Times New Roman" w:cs="Times New Roman"/>
        </w:rPr>
        <w:t>信号系统</w:t>
      </w:r>
      <w:bookmarkEnd w:id="221"/>
      <w:bookmarkEnd w:id="222"/>
      <w:bookmarkEnd w:id="223"/>
      <w:bookmarkEnd w:id="224"/>
      <w:bookmarkEnd w:id="22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26" w:name="_Toc12201"/>
      <w:r>
        <w:rPr>
          <w:rFonts w:hint="eastAsia" w:ascii="宋体" w:hAnsi="宋体" w:eastAsia="宋体" w:cs="宋体"/>
          <w:lang w:val="en-US" w:eastAsia="zh-CN"/>
        </w:rPr>
        <w:t>信号系统应保持超速防护、追踪防护、进路防护、道岔防护和信号/表示器防护等安全功能的完整性和可靠性，并准确传递列车运行的指挥、控制、调整、现场表示和报警等实时信息。评估时应针对信号系统安全功能失效可能导致行车事故的风险，查阅信号系统运行与故障维护记录、故障统计分析报告，因安全功能失效导致频繁故障或发生运营险性事件的，可开展相关功能的测试复核工作。</w:t>
      </w:r>
      <w:bookmarkEnd w:id="226"/>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27" w:name="_Toc25605"/>
      <w:r>
        <w:rPr>
          <w:rFonts w:hint="eastAsia" w:ascii="宋体" w:hAnsi="宋体" w:eastAsia="宋体" w:cs="宋体"/>
          <w:lang w:val="en-US" w:eastAsia="zh-CN"/>
        </w:rPr>
        <w:t>信号系统应保持基本性能和接口特性的稳定性和完整性，确保信号系统安全可靠。评估时应核查信号系统故障记录，信号安全核心设备的可靠性和接口性能应达到技术规格书规定的指标要求，包括单通道可靠性与安全性指标、多通道同步与无缝切换指标、系统输出和外部接口关系符合故障导向安全原则等。</w:t>
      </w:r>
      <w:bookmarkEnd w:id="227"/>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eastAsia="zh-CN"/>
        </w:rPr>
      </w:pPr>
      <w:bookmarkStart w:id="228" w:name="_Toc21257"/>
      <w:r>
        <w:rPr>
          <w:rFonts w:hint="eastAsia" w:ascii="宋体" w:hAnsi="宋体" w:eastAsia="宋体" w:cs="宋体"/>
          <w:lang w:val="en-US" w:eastAsia="zh-CN"/>
        </w:rPr>
        <w:t>信号系统维护应符合维护规程，确保系统功能完好、性能稳定、运行正常。评估时应</w:t>
      </w:r>
      <w:r>
        <w:rPr>
          <w:rFonts w:hint="eastAsia" w:ascii="宋体" w:hAnsi="宋体" w:eastAsia="宋体" w:cs="宋体"/>
          <w:lang w:eastAsia="zh-CN"/>
        </w:rPr>
        <w:t>核查</w:t>
      </w:r>
      <w:r>
        <w:rPr>
          <w:rFonts w:hint="eastAsia" w:ascii="宋体" w:hAnsi="宋体" w:eastAsia="宋体" w:cs="宋体"/>
          <w:lang w:val="en-US" w:eastAsia="zh-CN"/>
        </w:rPr>
        <w:t>维护规程中是否涵盖下列重要风险点：</w:t>
      </w:r>
      <w:bookmarkEnd w:id="228"/>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全自动运行线路的自动休眠/唤醒功能失效；</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全自动运行线路的远程操作功能失效；</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全自动运行线路的蠕动模式/跳跃模式失效；</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列车在前后追踪运行时，信号系统输出列车不安全的授权；</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区域控制器故障；</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联锁表示室内外不一致或联锁关系错误；</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车地无线通信频段受干扰；</w:t>
      </w:r>
    </w:p>
    <w:p>
      <w:pPr>
        <w:keepNext w:val="0"/>
        <w:keepLines w:val="0"/>
        <w:pageBreakBefore w:val="0"/>
        <w:widowControl w:val="0"/>
        <w:numPr>
          <w:ilvl w:val="4"/>
          <w:numId w:val="6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列车占用出清检查错误。</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29" w:name="_Toc10148"/>
      <w:r>
        <w:rPr>
          <w:rFonts w:hint="eastAsia" w:ascii="宋体" w:hAnsi="宋体" w:eastAsia="宋体" w:cs="宋体"/>
          <w:lang w:val="en-US" w:eastAsia="zh-CN"/>
        </w:rPr>
        <w:t>车载信号系统、轨旁信号系统等设备的运行环境应保持在技术规格书所要求的范围。评估内容如下：</w:t>
      </w:r>
      <w:bookmarkEnd w:id="229"/>
    </w:p>
    <w:p>
      <w:pPr>
        <w:keepNext w:val="0"/>
        <w:keepLines w:val="0"/>
        <w:pageBreakBefore w:val="0"/>
        <w:widowControl w:val="0"/>
        <w:numPr>
          <w:ilvl w:val="4"/>
          <w:numId w:val="7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抽查1个信号集中站的机房环境、外部电源条件、操作使用条件，以及防水、防尘、防震、防电磁干扰等机柜及外挂设备运行环境；</w:t>
      </w:r>
    </w:p>
    <w:p>
      <w:pPr>
        <w:keepNext w:val="0"/>
        <w:keepLines w:val="0"/>
        <w:pageBreakBefore w:val="0"/>
        <w:widowControl w:val="0"/>
        <w:numPr>
          <w:ilvl w:val="4"/>
          <w:numId w:val="7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查阅车载信号系统、轨旁信号系统的维护规程，核查是否包括技术规格书的防水、防尘、防震、防电磁干扰规定。</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30" w:name="_Toc13074"/>
      <w:r>
        <w:rPr>
          <w:rFonts w:hint="eastAsia" w:ascii="宋体" w:hAnsi="宋体" w:eastAsia="宋体" w:cs="宋体"/>
          <w:lang w:val="en-US" w:eastAsia="zh-CN"/>
        </w:rPr>
        <w:t>运营单位应将信号系统硬件变更、软件升级等安全要求纳入信号系统安全管理规定和维护规程。评估时应查阅信号系统安全管理规定和维护规程。</w:t>
      </w:r>
      <w:bookmarkEnd w:id="230"/>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31" w:name="_Toc27258"/>
      <w:r>
        <w:rPr>
          <w:rFonts w:hint="eastAsia" w:ascii="宋体" w:hAnsi="宋体" w:eastAsia="宋体" w:cs="宋体"/>
          <w:lang w:val="en-US" w:eastAsia="zh-CN"/>
        </w:rPr>
        <w:t>信号系统有关功能使用的限制项，应严格执行制定的安全防护措施。评估时应查阅信号系统安全管理规定和操作规程中针对信号系统限制项管控不到位可能导致的行车事故风险管控措施。</w:t>
      </w:r>
      <w:bookmarkEnd w:id="231"/>
    </w:p>
    <w:p>
      <w:pPr>
        <w:pStyle w:val="107"/>
        <w:spacing w:before="120" w:after="120"/>
        <w:rPr>
          <w:rFonts w:hint="eastAsia" w:hAnsi="Times New Roman" w:cs="Times New Roman"/>
        </w:rPr>
      </w:pPr>
      <w:bookmarkStart w:id="232" w:name="_Toc5845"/>
      <w:bookmarkStart w:id="233" w:name="_Toc27509"/>
      <w:r>
        <w:rPr>
          <w:rFonts w:hint="eastAsia" w:hAnsi="Times New Roman" w:cs="Times New Roman"/>
        </w:rPr>
        <w:t>供电系统</w:t>
      </w:r>
      <w:bookmarkEnd w:id="232"/>
      <w:bookmarkEnd w:id="233"/>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34" w:name="_Toc15098"/>
      <w:r>
        <w:rPr>
          <w:rFonts w:hint="eastAsia" w:ascii="宋体" w:hAnsi="宋体" w:eastAsia="宋体" w:cs="宋体"/>
          <w:lang w:val="en-US" w:eastAsia="zh-CN"/>
        </w:rPr>
        <w:t>供电系统维护应符合维护规程，确保各设备功能完好、性能稳定、运行正常。评估时应抽查供电系统6个月内运行日志与维护记录，现场选取变电所设备房进行实际数据检查。</w:t>
      </w:r>
      <w:bookmarkEnd w:id="234"/>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35" w:name="_Toc12315"/>
      <w:r>
        <w:rPr>
          <w:rFonts w:hint="eastAsia" w:ascii="宋体" w:hAnsi="宋体" w:eastAsia="宋体" w:cs="宋体"/>
          <w:lang w:val="en-US" w:eastAsia="zh-CN"/>
        </w:rPr>
        <w:t>供电系统各供电分区支援供电、0.4 kV低压备自投，以及10 kV分段开关的“级差校验”、电力监控系统“三遥”等安全功能的状态完好，运行有效。评估时应查阅供电系统维护规程，针对供电系统运行过程中存在的紧急情况下安全功能失效的风险，核查是否包括支援供电、低压备自投等安全功能的测试与试验。</w:t>
      </w:r>
      <w:bookmarkEnd w:id="235"/>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宋体"/>
          <w:lang w:val="en-US" w:eastAsia="zh-CN"/>
        </w:rPr>
      </w:pPr>
      <w:bookmarkStart w:id="236" w:name="_Toc21628"/>
      <w:r>
        <w:rPr>
          <w:rFonts w:hint="eastAsia" w:ascii="宋体" w:hAnsi="宋体" w:eastAsia="宋体" w:cs="宋体"/>
          <w:lang w:val="en-US" w:eastAsia="zh-CN"/>
        </w:rPr>
        <w:t>充电系统各设备应满足T/URTA 0003中列车正常或紧急情况下的自动充电场景需求。评估内容如下：</w:t>
      </w:r>
      <w:bookmarkEnd w:id="236"/>
    </w:p>
    <w:p>
      <w:pPr>
        <w:keepNext w:val="0"/>
        <w:keepLines w:val="0"/>
        <w:pageBreakBefore w:val="0"/>
        <w:widowControl w:val="0"/>
        <w:numPr>
          <w:ilvl w:val="4"/>
          <w:numId w:val="7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调度远程安排列车进行自动充电作业，通过智能充电监控系统后台或现场查看列车充电状态（包括：列车SOC、充电功率、电压、电流等工作状态）是否满足列车充电要求；</w:t>
      </w:r>
    </w:p>
    <w:p>
      <w:pPr>
        <w:keepNext w:val="0"/>
        <w:keepLines w:val="0"/>
        <w:pageBreakBefore w:val="0"/>
        <w:widowControl w:val="0"/>
        <w:numPr>
          <w:ilvl w:val="4"/>
          <w:numId w:val="7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自动充电过程中调度远程或就地对充电柜进行启动/停止控制，通过充电系统后台或现场查看具体列车充电状态是否满足列车充电要求。</w:t>
      </w:r>
    </w:p>
    <w:p>
      <w:pPr>
        <w:pStyle w:val="67"/>
        <w:keepNext w:val="0"/>
        <w:keepLines w:val="0"/>
        <w:pageBreakBefore w:val="0"/>
        <w:widowControl w:val="0"/>
        <w:kinsoku/>
        <w:wordWrap/>
        <w:overflowPunct/>
        <w:topLinePunct w:val="0"/>
        <w:autoSpaceDE/>
        <w:autoSpaceDN/>
        <w:bidi w:val="0"/>
        <w:adjustRightInd/>
        <w:snapToGrid/>
        <w:spacing w:before="0" w:beforeLines="0" w:after="0" w:afterLines="0"/>
        <w:ind w:left="0" w:leftChars="0" w:firstLine="0" w:firstLineChars="0"/>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系统应设置防雷、接地措施。</w:t>
      </w:r>
      <w:r>
        <w:rPr>
          <w:rFonts w:hint="eastAsia" w:ascii="宋体" w:hAnsi="Times New Roman" w:eastAsia="宋体" w:cs="Times New Roman"/>
          <w:highlight w:val="none"/>
          <w:lang w:eastAsia="zh-CN"/>
        </w:rPr>
        <w:t>评估内容如下：</w:t>
      </w:r>
    </w:p>
    <w:p>
      <w:pPr>
        <w:keepNext w:val="0"/>
        <w:keepLines w:val="0"/>
        <w:pageBreakBefore w:val="0"/>
        <w:widowControl w:val="0"/>
        <w:numPr>
          <w:ilvl w:val="4"/>
          <w:numId w:val="7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变电所设置人工接地网，并与车站综合接地网采用电缆连接，综合接地电阻不大于1</w:t>
      </w:r>
      <w:r>
        <w:rPr>
          <w:rFonts w:hint="default" w:ascii="宋体" w:hAnsi="宋体" w:cs="Times New Roman"/>
          <w:highlight w:val="none"/>
          <w:lang w:val="en-US" w:eastAsia="zh-CN"/>
        </w:rPr>
        <w:t xml:space="preserve"> </w:t>
      </w:r>
      <w:r>
        <w:rPr>
          <w:rFonts w:hint="eastAsia" w:ascii="宋体" w:hAnsi="宋体" w:eastAsia="宋体" w:cs="Times New Roman"/>
          <w:highlight w:val="none"/>
          <w:lang w:val="en-US" w:eastAsia="zh-CN"/>
        </w:rPr>
        <w:t>Ω；</w:t>
      </w:r>
    </w:p>
    <w:p>
      <w:pPr>
        <w:keepNext w:val="0"/>
        <w:keepLines w:val="0"/>
        <w:pageBreakBefore w:val="0"/>
        <w:widowControl w:val="0"/>
        <w:numPr>
          <w:ilvl w:val="4"/>
          <w:numId w:val="7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变电所各10</w:t>
      </w:r>
      <w:r>
        <w:rPr>
          <w:rFonts w:hint="default" w:ascii="宋体" w:hAnsi="宋体" w:cs="Times New Roman"/>
          <w:highlight w:val="none"/>
          <w:lang w:val="en-US" w:eastAsia="zh-CN"/>
        </w:rPr>
        <w:t xml:space="preserve"> </w:t>
      </w:r>
      <w:r>
        <w:rPr>
          <w:rFonts w:hint="eastAsia" w:ascii="宋体" w:hAnsi="宋体" w:eastAsia="宋体" w:cs="Times New Roman"/>
          <w:highlight w:val="none"/>
          <w:lang w:val="en-US" w:eastAsia="zh-CN"/>
        </w:rPr>
        <w:t>kV母线上设避雷器作为过电压保护；</w:t>
      </w:r>
    </w:p>
    <w:p>
      <w:pPr>
        <w:keepNext w:val="0"/>
        <w:keepLines w:val="0"/>
        <w:pageBreakBefore w:val="0"/>
        <w:widowControl w:val="0"/>
        <w:numPr>
          <w:ilvl w:val="4"/>
          <w:numId w:val="7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降压所及跟随所低压母线进线设置防雷电浪涌保护器；</w:t>
      </w:r>
    </w:p>
    <w:p>
      <w:pPr>
        <w:keepNext w:val="0"/>
        <w:keepLines w:val="0"/>
        <w:pageBreakBefore w:val="0"/>
        <w:widowControl w:val="0"/>
        <w:numPr>
          <w:ilvl w:val="4"/>
          <w:numId w:val="7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降压变电所地面设置绝缘胶垫。</w:t>
      </w:r>
    </w:p>
    <w:p>
      <w:pPr>
        <w:pStyle w:val="107"/>
        <w:spacing w:before="120" w:after="120"/>
        <w:rPr>
          <w:rFonts w:hint="eastAsia" w:hAnsi="Times New Roman" w:cs="Times New Roman"/>
        </w:rPr>
      </w:pPr>
      <w:bookmarkStart w:id="237" w:name="_Toc8899"/>
      <w:bookmarkStart w:id="238" w:name="_Toc4586"/>
      <w:bookmarkStart w:id="239" w:name="_Toc19406"/>
      <w:r>
        <w:rPr>
          <w:rFonts w:hint="eastAsia" w:hAnsi="Times New Roman" w:cs="Times New Roman"/>
        </w:rPr>
        <w:t>自动售检票系统</w:t>
      </w:r>
      <w:bookmarkEnd w:id="237"/>
      <w:bookmarkEnd w:id="238"/>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rPr>
        <w:t>自动售检票系统各种运行模式有效，出现非正常和紧急情况，系统应由正常运行方式转为紧急运行方式。</w:t>
      </w:r>
      <w:r>
        <w:rPr>
          <w:rFonts w:hint="eastAsia" w:ascii="宋体" w:hAnsi="Times New Roman" w:eastAsia="宋体" w:cs="Times New Roman"/>
          <w:highlight w:val="none"/>
          <w:lang w:eastAsia="zh-CN"/>
        </w:rPr>
        <w:t>评估内容如下：</w:t>
      </w:r>
    </w:p>
    <w:p>
      <w:pPr>
        <w:keepNext w:val="0"/>
        <w:keepLines w:val="0"/>
        <w:pageBreakBefore w:val="0"/>
        <w:widowControl w:val="0"/>
        <w:numPr>
          <w:ilvl w:val="4"/>
          <w:numId w:val="7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现场核查车站售检票终端或车载检票终端的运行情况；</w:t>
      </w:r>
    </w:p>
    <w:p>
      <w:pPr>
        <w:keepNext w:val="0"/>
        <w:keepLines w:val="0"/>
        <w:pageBreakBefore w:val="0"/>
        <w:widowControl w:val="0"/>
        <w:numPr>
          <w:ilvl w:val="4"/>
          <w:numId w:val="7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模拟火灾等紧急情况下，所有售检票终端设备进入紧急放行模式，并显示相关提示信息；紧急放行模式解除后设备应能自动进入原服务模式；</w:t>
      </w:r>
    </w:p>
    <w:p>
      <w:pPr>
        <w:keepNext w:val="0"/>
        <w:keepLines w:val="0"/>
        <w:pageBreakBefore w:val="0"/>
        <w:widowControl w:val="0"/>
        <w:numPr>
          <w:ilvl w:val="4"/>
          <w:numId w:val="7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模拟车站断电，断电期间带有通道阻挡装置的检票机应保持通道放行状态，恢复供电后设备应能自动进入原服务模式。</w:t>
      </w:r>
    </w:p>
    <w:p>
      <w:pPr>
        <w:pStyle w:val="107"/>
        <w:spacing w:before="120" w:after="120"/>
        <w:rPr>
          <w:rFonts w:hint="eastAsia" w:hAnsi="Times New Roman" w:cs="Times New Roman"/>
        </w:rPr>
      </w:pPr>
      <w:bookmarkStart w:id="240" w:name="_Toc29086"/>
      <w:bookmarkStart w:id="241" w:name="_Toc11805"/>
      <w:r>
        <w:rPr>
          <w:rFonts w:hint="eastAsia" w:hAnsi="Times New Roman" w:cs="Times New Roman"/>
        </w:rPr>
        <w:t>综合监控系统</w:t>
      </w:r>
      <w:bookmarkEnd w:id="240"/>
      <w:bookmarkEnd w:id="241"/>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rPr>
        <w:t>综合监控系统</w:t>
      </w:r>
      <w:r>
        <w:rPr>
          <w:rFonts w:hint="eastAsia" w:ascii="宋体" w:hAnsi="Times New Roman" w:eastAsia="宋体" w:cs="Times New Roman"/>
          <w:highlight w:val="none"/>
          <w:lang w:eastAsia="zh-CN"/>
        </w:rPr>
        <w:t>宜</w:t>
      </w:r>
      <w:r>
        <w:rPr>
          <w:rFonts w:hint="eastAsia" w:ascii="宋体" w:hAnsi="Times New Roman" w:eastAsia="宋体" w:cs="Times New Roman"/>
          <w:highlight w:val="none"/>
        </w:rPr>
        <w:t>对</w:t>
      </w:r>
      <w:r>
        <w:rPr>
          <w:rFonts w:hint="eastAsia" w:ascii="宋体" w:hAnsi="Times New Roman" w:eastAsia="宋体" w:cs="Times New Roman"/>
          <w:highlight w:val="none"/>
          <w:lang w:val="en-US" w:eastAsia="zh-CN"/>
        </w:rPr>
        <w:t>电梯、自动扶梯、站台门、通风空调、照明、给排水、UPS、AFC</w:t>
      </w:r>
      <w:r>
        <w:rPr>
          <w:rFonts w:hint="eastAsia" w:ascii="宋体" w:hAnsi="Times New Roman" w:eastAsia="宋体" w:cs="Times New Roman"/>
          <w:highlight w:val="none"/>
        </w:rPr>
        <w:t>等系统实现有效</w:t>
      </w:r>
      <w:r>
        <w:rPr>
          <w:rFonts w:hint="eastAsia" w:ascii="宋体" w:hAnsi="Times New Roman" w:eastAsia="宋体" w:cs="Times New Roman"/>
          <w:highlight w:val="none"/>
          <w:lang w:val="en-US" w:eastAsia="zh-CN"/>
        </w:rPr>
        <w:t>监视或控制</w:t>
      </w:r>
      <w:r>
        <w:rPr>
          <w:rFonts w:hint="eastAsia" w:ascii="宋体" w:hAnsi="Times New Roman" w:eastAsia="宋体" w:cs="Times New Roman"/>
          <w:highlight w:val="none"/>
        </w:rPr>
        <w:t>。</w:t>
      </w:r>
      <w:r>
        <w:rPr>
          <w:rFonts w:hint="eastAsia" w:ascii="宋体" w:hAnsi="Times New Roman" w:eastAsia="宋体" w:cs="Times New Roman"/>
          <w:highlight w:val="none"/>
          <w:lang w:eastAsia="zh-CN"/>
        </w:rPr>
        <w:t>评估内容如下：</w:t>
      </w:r>
    </w:p>
    <w:p>
      <w:pPr>
        <w:keepNext w:val="0"/>
        <w:keepLines w:val="0"/>
        <w:pageBreakBefore w:val="0"/>
        <w:widowControl w:val="0"/>
        <w:numPr>
          <w:ilvl w:val="4"/>
          <w:numId w:val="7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检查综合监控系统和被监控系统设备运行情况，系统应运行良好；</w:t>
      </w:r>
    </w:p>
    <w:p>
      <w:pPr>
        <w:keepNext w:val="0"/>
        <w:keepLines w:val="0"/>
        <w:pageBreakBefore w:val="0"/>
        <w:widowControl w:val="0"/>
        <w:numPr>
          <w:ilvl w:val="4"/>
          <w:numId w:val="7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抽查综合监控系统下列故障的管控措施：</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系统软件运行异常导致全部或部分系统功能丧失，且运行异常时间超过5</w:t>
      </w:r>
      <w:r>
        <w:rPr>
          <w:rFonts w:ascii="宋体" w:hAnsi="Times New Roman" w:eastAsia="宋体" w:cs="Times New Roman"/>
          <w:highlight w:val="none"/>
        </w:rPr>
        <w:t xml:space="preserve"> min</w:t>
      </w:r>
      <w:r>
        <w:rPr>
          <w:rFonts w:hint="eastAsia" w:ascii="宋体" w:hAnsi="Times New Roman" w:eastAsia="宋体" w:cs="Times New Roman"/>
          <w:highlight w:val="none"/>
        </w:rPr>
        <w:t>；</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系统冗余设备发生故障，导致全部或部分系统功能丧失，且故障时间超过5</w:t>
      </w:r>
      <w:r>
        <w:rPr>
          <w:rFonts w:ascii="宋体" w:hAnsi="Times New Roman" w:eastAsia="宋体" w:cs="Times New Roman"/>
          <w:highlight w:val="none"/>
        </w:rPr>
        <w:t xml:space="preserve"> min</w:t>
      </w:r>
      <w:r>
        <w:rPr>
          <w:rFonts w:hint="eastAsia" w:ascii="宋体" w:hAnsi="Times New Roman" w:eastAsia="宋体" w:cs="Times New Roman"/>
          <w:highlight w:val="none"/>
        </w:rPr>
        <w:t>。</w:t>
      </w:r>
    </w:p>
    <w:p>
      <w:pPr>
        <w:pStyle w:val="107"/>
        <w:spacing w:before="120" w:after="120"/>
        <w:rPr>
          <w:rFonts w:hint="eastAsia" w:hAnsi="Times New Roman" w:cs="Times New Roman"/>
        </w:rPr>
      </w:pPr>
      <w:bookmarkStart w:id="242" w:name="_Toc21544"/>
      <w:bookmarkStart w:id="243" w:name="_Toc20031"/>
      <w:r>
        <w:rPr>
          <w:rFonts w:hint="eastAsia" w:hAnsi="Times New Roman" w:cs="Times New Roman"/>
        </w:rPr>
        <w:t>火灾自动报警系统</w:t>
      </w:r>
      <w:bookmarkEnd w:id="242"/>
      <w:bookmarkEnd w:id="243"/>
    </w:p>
    <w:p>
      <w:pPr>
        <w:widowControl w:val="0"/>
        <w:autoSpaceDE w:val="0"/>
        <w:autoSpaceDN w:val="0"/>
        <w:adjustRightInd w:val="0"/>
        <w:spacing w:line="240" w:lineRule="auto"/>
        <w:ind w:firstLine="420" w:firstLineChars="200"/>
        <w:rPr>
          <w:rFonts w:hint="eastAsia" w:ascii="宋体" w:hAnsi="Times New Roman" w:cs="Times New Roman"/>
          <w:highlight w:val="none"/>
        </w:rPr>
      </w:pPr>
      <w:bookmarkStart w:id="244" w:name="_Toc25948"/>
      <w:bookmarkStart w:id="245" w:name="_Toc2727"/>
      <w:r>
        <w:rPr>
          <w:rFonts w:hint="eastAsia" w:ascii="宋体" w:hAnsi="Times New Roman" w:cs="Times New Roman"/>
          <w:highlight w:val="none"/>
        </w:rPr>
        <w:t>火灾自动报警系统维修应符合维修规程，确保系统功能完好、性能稳定、运行正常。评估要求及方法</w:t>
      </w:r>
      <w:r>
        <w:rPr>
          <w:rFonts w:hint="eastAsia" w:ascii="宋体" w:hAnsi="Times New Roman" w:cs="Times New Roman"/>
          <w:highlight w:val="none"/>
          <w:lang w:val="en-US" w:eastAsia="zh-CN"/>
        </w:rPr>
        <w:t>如下</w:t>
      </w:r>
      <w:r>
        <w:rPr>
          <w:rFonts w:hint="eastAsia" w:ascii="宋体" w:hAnsi="Times New Roman" w:cs="Times New Roman"/>
          <w:highlight w:val="none"/>
        </w:rPr>
        <w:t>：</w:t>
      </w:r>
    </w:p>
    <w:p>
      <w:pPr>
        <w:keepNext w:val="0"/>
        <w:keepLines w:val="0"/>
        <w:pageBreakBefore w:val="0"/>
        <w:widowControl w:val="0"/>
        <w:numPr>
          <w:ilvl w:val="4"/>
          <w:numId w:val="7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检查火灾自动报警系统维修记录、故障记录，核查维修规程落实情况</w:t>
      </w:r>
      <w:r>
        <w:rPr>
          <w:rFonts w:hint="eastAsia" w:ascii="宋体" w:hAnsi="宋体" w:cs="Times New Roman"/>
          <w:highlight w:val="none"/>
          <w:lang w:val="en-US" w:eastAsia="zh-CN"/>
        </w:rPr>
        <w:t>；</w:t>
      </w:r>
    </w:p>
    <w:p>
      <w:pPr>
        <w:keepNext w:val="0"/>
        <w:keepLines w:val="0"/>
        <w:pageBreakBefore w:val="0"/>
        <w:widowControl w:val="0"/>
        <w:numPr>
          <w:ilvl w:val="4"/>
          <w:numId w:val="7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检查火灾自动报警系统维修规程及其维修记录，检查和维修内容应涵盖</w:t>
      </w:r>
      <w:r>
        <w:rPr>
          <w:rFonts w:hint="eastAsia" w:ascii="宋体" w:hAnsi="宋体" w:cs="Times New Roman"/>
          <w:highlight w:val="none"/>
          <w:lang w:val="en-US" w:eastAsia="zh-CN"/>
        </w:rPr>
        <w:t>下列内容</w:t>
      </w:r>
      <w:r>
        <w:rPr>
          <w:rFonts w:hint="eastAsia" w:ascii="宋体" w:hAnsi="宋体" w:eastAsia="宋体" w:cs="Times New Roman"/>
          <w:highlight w:val="none"/>
          <w:lang w:val="en-US" w:eastAsia="zh-CN"/>
        </w:rPr>
        <w:t>：</w:t>
      </w:r>
    </w:p>
    <w:p>
      <w:pPr>
        <w:widowControl w:val="0"/>
        <w:numPr>
          <w:ilvl w:val="0"/>
          <w:numId w:val="66"/>
        </w:numPr>
        <w:autoSpaceDE w:val="0"/>
        <w:autoSpaceDN w:val="0"/>
        <w:adjustRightInd w:val="0"/>
        <w:spacing w:line="240" w:lineRule="auto"/>
        <w:ind w:left="1260" w:leftChars="400" w:hangingChars="200"/>
        <w:rPr>
          <w:rFonts w:hint="eastAsia" w:ascii="宋体" w:hAnsi="Times New Roman" w:cs="Times New Roman"/>
          <w:highlight w:val="none"/>
        </w:rPr>
      </w:pPr>
      <w:r>
        <w:rPr>
          <w:rFonts w:hint="eastAsia" w:ascii="宋体" w:hAnsi="Times New Roman" w:cs="Times New Roman"/>
          <w:highlight w:val="none"/>
        </w:rPr>
        <w:t>火灾报警探测器维护调整情况；</w:t>
      </w:r>
    </w:p>
    <w:p>
      <w:pPr>
        <w:widowControl w:val="0"/>
        <w:numPr>
          <w:ilvl w:val="0"/>
          <w:numId w:val="66"/>
        </w:numPr>
        <w:autoSpaceDE w:val="0"/>
        <w:autoSpaceDN w:val="0"/>
        <w:adjustRightInd w:val="0"/>
        <w:spacing w:line="240" w:lineRule="auto"/>
        <w:ind w:left="1260" w:leftChars="400" w:hangingChars="200"/>
        <w:rPr>
          <w:rFonts w:hint="eastAsia" w:ascii="宋体" w:hAnsi="Times New Roman" w:cs="Times New Roman"/>
          <w:highlight w:val="none"/>
        </w:rPr>
      </w:pPr>
      <w:r>
        <w:rPr>
          <w:rFonts w:hint="eastAsia" w:ascii="宋体" w:hAnsi="Times New Roman" w:cs="Times New Roman"/>
          <w:highlight w:val="none"/>
        </w:rPr>
        <w:t>火灾自动报警系统程序修改升级、软件维护、故障查询和软件故障处理情况；</w:t>
      </w:r>
    </w:p>
    <w:p>
      <w:pPr>
        <w:widowControl w:val="0"/>
        <w:numPr>
          <w:ilvl w:val="0"/>
          <w:numId w:val="66"/>
        </w:numPr>
        <w:autoSpaceDE w:val="0"/>
        <w:autoSpaceDN w:val="0"/>
        <w:adjustRightInd w:val="0"/>
        <w:spacing w:line="240" w:lineRule="auto"/>
        <w:ind w:left="1260" w:leftChars="400" w:hangingChars="200"/>
        <w:rPr>
          <w:rFonts w:hint="eastAsia" w:ascii="宋体" w:hAnsi="Times New Roman" w:cs="Times New Roman"/>
          <w:highlight w:val="none"/>
        </w:rPr>
      </w:pPr>
      <w:r>
        <w:rPr>
          <w:rFonts w:hint="eastAsia" w:ascii="宋体" w:hAnsi="Times New Roman" w:cs="Times New Roman"/>
          <w:highlight w:val="none"/>
        </w:rPr>
        <w:t>火灾自动报警系统报警主机故障、误报漏报等情况。</w:t>
      </w:r>
    </w:p>
    <w:p>
      <w:pPr>
        <w:pStyle w:val="107"/>
        <w:spacing w:before="120" w:after="120"/>
        <w:rPr>
          <w:rFonts w:hint="eastAsia" w:hAnsi="Times New Roman" w:cs="Times New Roman"/>
        </w:rPr>
      </w:pPr>
      <w:r>
        <w:rPr>
          <w:rFonts w:hint="eastAsia" w:hAnsi="Times New Roman" w:cs="Times New Roman"/>
        </w:rPr>
        <w:t>电梯、自动扶梯</w:t>
      </w:r>
      <w:bookmarkEnd w:id="244"/>
      <w:bookmarkEnd w:id="245"/>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rPr>
        <w:t>电梯和自动扶梯应功能完好、性能稳定、运行正常。</w:t>
      </w:r>
      <w:r>
        <w:rPr>
          <w:rFonts w:hint="eastAsia" w:ascii="宋体" w:hAnsi="Times New Roman" w:eastAsia="宋体" w:cs="Times New Roman"/>
          <w:highlight w:val="none"/>
          <w:lang w:eastAsia="zh-CN"/>
        </w:rPr>
        <w:t>评估内容如下：</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核查电梯和自动扶梯的维保合同及执行情况；</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检查电梯和自动扶梯的安全技术档案，重点检查定期检验记录、使用记录、维保记录、运行故障和事故记录；</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检查电梯和自动扶梯的特种设备使用标志，应张贴在显著位置，且应在有效期内；</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如电梯轿厢发生过冲顶、坠落，自动扶梯发生溜梯、逆行、失速运行等异常情况的，应核查有关事件的原因及整改措施分析报告；</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检查电梯和自动扶梯的各项安全保护装置，应配置齐全、动作灵敏、运行可靠；</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检查电梯轿厢内视频监控功能正常；</w:t>
      </w:r>
    </w:p>
    <w:p>
      <w:pPr>
        <w:keepNext w:val="0"/>
        <w:keepLines w:val="0"/>
        <w:pageBreakBefore w:val="0"/>
        <w:widowControl w:val="0"/>
        <w:numPr>
          <w:ilvl w:val="4"/>
          <w:numId w:val="7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检查电梯的消防功能符合设计要求。</w:t>
      </w:r>
    </w:p>
    <w:p>
      <w:pPr>
        <w:pStyle w:val="107"/>
        <w:spacing w:before="120" w:after="120"/>
        <w:rPr>
          <w:rFonts w:hint="eastAsia" w:hAnsi="Times New Roman" w:cs="Times New Roman"/>
        </w:rPr>
      </w:pPr>
      <w:bookmarkStart w:id="246" w:name="_Toc30826"/>
      <w:bookmarkStart w:id="247" w:name="_Toc10887"/>
      <w:r>
        <w:rPr>
          <w:rFonts w:hint="eastAsia" w:hAnsi="Times New Roman" w:cs="Times New Roman"/>
        </w:rPr>
        <w:t>通风空调系统</w:t>
      </w:r>
      <w:bookmarkEnd w:id="246"/>
      <w:bookmarkEnd w:id="247"/>
    </w:p>
    <w:p>
      <w:pPr>
        <w:keepNext w:val="0"/>
        <w:keepLines w:val="0"/>
        <w:pageBreakBefore w:val="0"/>
        <w:widowControl w:val="0"/>
        <w:numPr>
          <w:ilvl w:val="-1"/>
          <w:numId w:val="0"/>
        </w:numPr>
        <w:kinsoku/>
        <w:wordWrap/>
        <w:overflowPunct/>
        <w:topLinePunct w:val="0"/>
        <w:autoSpaceDE w:val="0"/>
        <w:autoSpaceDN w:val="0"/>
        <w:bidi w:val="0"/>
        <w:adjustRightInd w:val="0"/>
        <w:snapToGrid/>
        <w:spacing w:line="240" w:lineRule="auto"/>
        <w:ind w:left="0" w:leftChars="0" w:firstLine="420" w:firstLineChars="200"/>
        <w:textAlignment w:val="auto"/>
        <w:rPr>
          <w:rFonts w:hint="eastAsia" w:ascii="Times New Roman" w:hAnsi="Times New Roman" w:eastAsia="宋体" w:cs="Times New Roman"/>
          <w:highlight w:val="none"/>
          <w:lang w:val="en-US" w:eastAsia="zh-CN"/>
        </w:rPr>
      </w:pPr>
      <w:r>
        <w:rPr>
          <w:rFonts w:hint="eastAsia" w:ascii="宋体" w:hAnsi="Times New Roman" w:eastAsia="宋体" w:cs="Times New Roman"/>
          <w:highlight w:val="none"/>
        </w:rPr>
        <w:t>通风空调系统各类通风模式运转正常，与综合监控系统联动，可及时启动相应模式。</w:t>
      </w:r>
      <w:r>
        <w:rPr>
          <w:rFonts w:hint="eastAsia" w:ascii="Times New Roman" w:hAnsi="Times New Roman" w:eastAsia="宋体" w:cs="Times New Roman"/>
          <w:highlight w:val="none"/>
        </w:rPr>
        <w:t>评估时应核查通风空调系统的运行状态监控情况正常</w:t>
      </w:r>
      <w:r>
        <w:rPr>
          <w:rFonts w:hint="eastAsia" w:ascii="Times New Roman" w:hAnsi="Times New Roman" w:cs="Times New Roman"/>
          <w:highlight w:val="none"/>
          <w:lang w:eastAsia="zh-CN"/>
        </w:rPr>
        <w:t>。</w:t>
      </w:r>
    </w:p>
    <w:p>
      <w:pPr>
        <w:pStyle w:val="107"/>
        <w:spacing w:before="120" w:after="120"/>
        <w:rPr>
          <w:rFonts w:hint="eastAsia" w:hAnsi="Times New Roman" w:cs="Times New Roman"/>
        </w:rPr>
      </w:pPr>
      <w:bookmarkStart w:id="248" w:name="_Toc10175"/>
      <w:bookmarkStart w:id="249" w:name="_Toc14653"/>
      <w:r>
        <w:rPr>
          <w:rFonts w:hint="eastAsia" w:hAnsi="Times New Roman" w:cs="Times New Roman"/>
        </w:rPr>
        <w:t>给排水及消防系统</w:t>
      </w:r>
      <w:bookmarkEnd w:id="248"/>
      <w:bookmarkEnd w:id="249"/>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ascii="Times New Roman" w:hAnsi="Times New Roman" w:eastAsia="宋体" w:cs="Times New Roman"/>
          <w:highlight w:val="none"/>
        </w:rPr>
      </w:pPr>
      <w:r>
        <w:rPr>
          <w:rFonts w:hint="eastAsia" w:ascii="宋体" w:hAnsi="Times New Roman" w:eastAsia="宋体" w:cs="Times New Roman"/>
          <w:highlight w:val="none"/>
        </w:rPr>
        <w:t>给排水及消防系统水量、水压和水质应满足生产、生活和消防用水需要。</w:t>
      </w:r>
      <w:r>
        <w:rPr>
          <w:rFonts w:hint="eastAsia" w:ascii="宋体" w:hAnsi="Times New Roman" w:eastAsia="宋体" w:cs="Times New Roman"/>
          <w:highlight w:val="none"/>
          <w:lang w:val="en-US" w:eastAsia="zh-CN"/>
        </w:rPr>
        <w:t>评估时应</w:t>
      </w:r>
      <w:r>
        <w:rPr>
          <w:rFonts w:hint="eastAsia" w:ascii="Times New Roman" w:hAnsi="Times New Roman" w:eastAsia="宋体" w:cs="Times New Roman"/>
          <w:highlight w:val="none"/>
          <w:lang w:val="en-US" w:eastAsia="zh-CN"/>
        </w:rPr>
        <w:t>查阅</w:t>
      </w:r>
      <w:r>
        <w:rPr>
          <w:rFonts w:hint="eastAsia" w:ascii="Times New Roman" w:hAnsi="Times New Roman" w:eastAsia="宋体" w:cs="Times New Roman"/>
          <w:highlight w:val="none"/>
        </w:rPr>
        <w:t>给排水及消防系统维护规程及维护记录</w:t>
      </w:r>
      <w:r>
        <w:rPr>
          <w:rFonts w:hint="eastAsia" w:ascii="Times New Roman" w:hAnsi="Times New Roman" w:eastAsia="宋体" w:cs="Times New Roman"/>
          <w:highlight w:val="none"/>
          <w:lang w:eastAsia="zh-CN"/>
        </w:rPr>
        <w:t>，</w:t>
      </w:r>
      <w:r>
        <w:rPr>
          <w:rFonts w:hint="eastAsia" w:ascii="宋体" w:hAnsi="Times New Roman" w:eastAsia="宋体" w:cs="Times New Roman"/>
          <w:highlight w:val="none"/>
          <w:lang w:val="en-US" w:eastAsia="zh-CN"/>
        </w:rPr>
        <w:t>核查是否满足下列要求</w:t>
      </w:r>
      <w:r>
        <w:rPr>
          <w:rFonts w:hint="eastAsia" w:ascii="宋体" w:hAnsi="Times New Roman" w:eastAsia="宋体" w:cs="Times New Roman"/>
          <w:highlight w:val="none"/>
          <w:lang w:eastAsia="zh-CN"/>
        </w:rPr>
        <w:t>：</w:t>
      </w:r>
    </w:p>
    <w:p>
      <w:pPr>
        <w:keepNext w:val="0"/>
        <w:keepLines w:val="0"/>
        <w:pageBreakBefore w:val="0"/>
        <w:widowControl w:val="0"/>
        <w:numPr>
          <w:ilvl w:val="4"/>
          <w:numId w:val="7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站外给排水及消防地面设施完好并有明显标识；</w:t>
      </w:r>
    </w:p>
    <w:p>
      <w:pPr>
        <w:keepNext w:val="0"/>
        <w:keepLines w:val="0"/>
        <w:pageBreakBefore w:val="0"/>
        <w:widowControl w:val="0"/>
        <w:numPr>
          <w:ilvl w:val="4"/>
          <w:numId w:val="7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排水管道畅通，定期清除集水池、化粪池的沉积物；</w:t>
      </w:r>
    </w:p>
    <w:p>
      <w:pPr>
        <w:keepNext w:val="0"/>
        <w:keepLines w:val="0"/>
        <w:pageBreakBefore w:val="0"/>
        <w:widowControl w:val="0"/>
        <w:numPr>
          <w:ilvl w:val="4"/>
          <w:numId w:val="7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cs="Times New Roman"/>
          <w:highlight w:val="none"/>
          <w:lang w:val="en-US" w:eastAsia="zh-CN"/>
        </w:rPr>
        <w:t>对地势低洼的</w:t>
      </w:r>
      <w:r>
        <w:rPr>
          <w:rFonts w:hint="eastAsia" w:ascii="宋体" w:hAnsi="宋体" w:eastAsia="宋体" w:cs="Times New Roman"/>
          <w:highlight w:val="none"/>
          <w:lang w:val="en-US" w:eastAsia="zh-CN"/>
        </w:rPr>
        <w:t>车站出入口采取防洪措施；</w:t>
      </w:r>
    </w:p>
    <w:p>
      <w:pPr>
        <w:keepNext w:val="0"/>
        <w:keepLines w:val="0"/>
        <w:pageBreakBefore w:val="0"/>
        <w:widowControl w:val="0"/>
        <w:numPr>
          <w:ilvl w:val="4"/>
          <w:numId w:val="7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cs="Times New Roman"/>
          <w:highlight w:val="none"/>
          <w:lang w:val="en-US" w:eastAsia="zh-CN"/>
        </w:rPr>
        <w:t>消防系统运行正常。</w:t>
      </w:r>
    </w:p>
    <w:p>
      <w:pPr>
        <w:pStyle w:val="107"/>
        <w:spacing w:before="120" w:after="120"/>
        <w:rPr>
          <w:rFonts w:hint="eastAsia" w:hAnsi="Times New Roman" w:cs="Times New Roman"/>
        </w:rPr>
      </w:pPr>
      <w:bookmarkStart w:id="250" w:name="_Toc25788"/>
      <w:bookmarkStart w:id="251" w:name="_Toc16194"/>
      <w:r>
        <w:rPr>
          <w:rFonts w:hint="eastAsia" w:hAnsi="Times New Roman" w:cs="Times New Roman"/>
        </w:rPr>
        <w:t>站台门</w:t>
      </w:r>
      <w:bookmarkEnd w:id="250"/>
      <w:bookmarkEnd w:id="251"/>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eastAsia" w:ascii="宋体" w:hAnsi="Times New Roman" w:eastAsia="宋体" w:cs="Times New Roman"/>
          <w:highlight w:val="none"/>
          <w:lang w:eastAsia="zh-CN"/>
        </w:rPr>
      </w:pPr>
      <w:r>
        <w:rPr>
          <w:rFonts w:hint="eastAsia" w:ascii="宋体" w:hAnsi="Times New Roman" w:eastAsia="宋体" w:cs="Times New Roman"/>
          <w:highlight w:val="none"/>
        </w:rPr>
        <w:t>站台门系统应功能完好、性能稳定、运行正常。</w:t>
      </w:r>
      <w:r>
        <w:rPr>
          <w:rFonts w:hint="eastAsia" w:ascii="宋体" w:hAnsi="Times New Roman" w:eastAsia="宋体" w:cs="Times New Roman"/>
          <w:highlight w:val="none"/>
          <w:lang w:eastAsia="zh-CN"/>
        </w:rPr>
        <w:t>评估内容如下：</w:t>
      </w:r>
    </w:p>
    <w:p>
      <w:pPr>
        <w:keepNext w:val="0"/>
        <w:keepLines w:val="0"/>
        <w:pageBreakBefore w:val="0"/>
        <w:widowControl w:val="0"/>
        <w:numPr>
          <w:ilvl w:val="4"/>
          <w:numId w:val="7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检查站台门发生夹人夹物、整侧无法开关门、玻璃爆裂等异常情况的应急处理措施；</w:t>
      </w:r>
    </w:p>
    <w:p>
      <w:pPr>
        <w:keepNext w:val="0"/>
        <w:keepLines w:val="0"/>
        <w:pageBreakBefore w:val="0"/>
        <w:widowControl w:val="0"/>
        <w:numPr>
          <w:ilvl w:val="4"/>
          <w:numId w:val="7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抽查车站站台门的障碍物探测、防夹保护、防踏空保护等功能应齐全；</w:t>
      </w:r>
    </w:p>
    <w:p>
      <w:pPr>
        <w:keepNext w:val="0"/>
        <w:keepLines w:val="0"/>
        <w:pageBreakBefore w:val="0"/>
        <w:widowControl w:val="0"/>
        <w:numPr>
          <w:ilvl w:val="4"/>
          <w:numId w:val="7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抽查车站站台门的门状态指示灯、蜂鸣器等声光报警装置的运行状态；</w:t>
      </w:r>
    </w:p>
    <w:p>
      <w:pPr>
        <w:keepNext w:val="0"/>
        <w:keepLines w:val="0"/>
        <w:pageBreakBefore w:val="0"/>
        <w:widowControl w:val="0"/>
        <w:numPr>
          <w:ilvl w:val="4"/>
          <w:numId w:val="7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抽查站台门后备电源系统，测试电源容量，容量应满足站台门系统持续工作30 min，且30 min内至少能3次循环开/关整侧滑动门；</w:t>
      </w:r>
    </w:p>
    <w:p>
      <w:pPr>
        <w:keepNext w:val="0"/>
        <w:keepLines w:val="0"/>
        <w:pageBreakBefore w:val="0"/>
        <w:widowControl w:val="0"/>
        <w:numPr>
          <w:ilvl w:val="4"/>
          <w:numId w:val="78"/>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抽查站台门运行记录，频繁故障或者发生过运营险性事件的，应对站台门乘客保护功能进行测试复核。</w:t>
      </w:r>
    </w:p>
    <w:p>
      <w:pPr>
        <w:pStyle w:val="107"/>
        <w:spacing w:before="120" w:after="120"/>
        <w:rPr>
          <w:rFonts w:hint="eastAsia" w:hAnsi="Times New Roman" w:cs="Times New Roman"/>
        </w:rPr>
      </w:pPr>
      <w:bookmarkStart w:id="252" w:name="_Toc28772"/>
      <w:bookmarkStart w:id="253" w:name="_Toc28229"/>
      <w:r>
        <w:rPr>
          <w:rFonts w:hint="eastAsia" w:hAnsi="Times New Roman" w:cs="Times New Roman"/>
        </w:rPr>
        <w:t>道岔</w:t>
      </w:r>
      <w:bookmarkEnd w:id="252"/>
      <w:bookmarkEnd w:id="253"/>
    </w:p>
    <w:p>
      <w:pPr>
        <w:keepNext w:val="0"/>
        <w:keepLines w:val="0"/>
        <w:pageBreakBefore w:val="0"/>
        <w:widowControl w:val="0"/>
        <w:kinsoku/>
        <w:wordWrap/>
        <w:overflowPunct/>
        <w:topLinePunct w:val="0"/>
        <w:autoSpaceDE w:val="0"/>
        <w:autoSpaceDN w:val="0"/>
        <w:bidi w:val="0"/>
        <w:adjustRightInd w:val="0"/>
        <w:snapToGrid/>
        <w:spacing w:line="240" w:lineRule="auto"/>
        <w:ind w:firstLine="420" w:firstLineChars="200"/>
        <w:textAlignment w:val="auto"/>
        <w:rPr>
          <w:rFonts w:hint="default" w:ascii="宋体" w:hAnsi="Times New Roman" w:eastAsia="宋体" w:cs="Times New Roman"/>
          <w:highlight w:val="none"/>
          <w:lang w:val="en-US" w:eastAsia="zh-CN"/>
        </w:rPr>
      </w:pPr>
      <w:r>
        <w:rPr>
          <w:rFonts w:hint="eastAsia" w:ascii="宋体" w:hAnsi="Times New Roman" w:eastAsia="宋体" w:cs="Times New Roman"/>
          <w:highlight w:val="none"/>
          <w:lang w:eastAsia="zh-CN"/>
        </w:rPr>
        <w:t>道岔</w:t>
      </w:r>
      <w:r>
        <w:rPr>
          <w:rFonts w:hint="eastAsia" w:ascii="宋体" w:hAnsi="Times New Roman" w:eastAsia="宋体" w:cs="Times New Roman"/>
          <w:highlight w:val="none"/>
        </w:rPr>
        <w:t>设施应保持状态完好，满足安全行车要求。</w:t>
      </w:r>
      <w:r>
        <w:rPr>
          <w:rFonts w:hint="eastAsia" w:ascii="宋体" w:hAnsi="Times New Roman" w:eastAsia="宋体" w:cs="Times New Roman"/>
          <w:highlight w:val="none"/>
          <w:lang w:eastAsia="zh-CN"/>
        </w:rPr>
        <w:t>评估内容如下：</w:t>
      </w:r>
    </w:p>
    <w:p>
      <w:pPr>
        <w:keepNext w:val="0"/>
        <w:keepLines w:val="0"/>
        <w:pageBreakBefore w:val="0"/>
        <w:widowControl w:val="0"/>
        <w:numPr>
          <w:ilvl w:val="4"/>
          <w:numId w:val="7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检查对道岔安装或连接螺栓松动，轨道梁的位置高度、梁间缝隙、接缝板磨损量偏差超过设计要求，连接焊缝出现裂纹等的检测与养护是否落实在相关</w:t>
      </w:r>
      <w:r>
        <w:rPr>
          <w:rFonts w:hint="eastAsia" w:ascii="宋体" w:hAnsi="宋体" w:cs="Times New Roman"/>
          <w:highlight w:val="none"/>
          <w:lang w:val="en-US" w:eastAsia="zh-CN"/>
        </w:rPr>
        <w:t>维护</w:t>
      </w:r>
      <w:r>
        <w:rPr>
          <w:rFonts w:hint="eastAsia" w:ascii="宋体" w:hAnsi="宋体" w:eastAsia="宋体" w:cs="Times New Roman"/>
          <w:highlight w:val="none"/>
          <w:lang w:val="en-US" w:eastAsia="zh-CN"/>
        </w:rPr>
        <w:t>规程中；</w:t>
      </w:r>
    </w:p>
    <w:p>
      <w:pPr>
        <w:keepNext w:val="0"/>
        <w:keepLines w:val="0"/>
        <w:pageBreakBefore w:val="0"/>
        <w:widowControl w:val="0"/>
        <w:numPr>
          <w:ilvl w:val="4"/>
          <w:numId w:val="7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检查对道岔触摸控制反应异常，不能正常进入系统控制模式或道岔不能正确响应控制指令，行程开关出现偏移、异常等故障的检查是否落实在相关</w:t>
      </w:r>
      <w:r>
        <w:rPr>
          <w:rFonts w:hint="eastAsia" w:ascii="宋体" w:hAnsi="宋体" w:cs="Times New Roman"/>
          <w:highlight w:val="none"/>
          <w:lang w:val="en-US" w:eastAsia="zh-CN"/>
        </w:rPr>
        <w:t>维护</w:t>
      </w:r>
      <w:r>
        <w:rPr>
          <w:rFonts w:hint="eastAsia" w:ascii="宋体" w:hAnsi="宋体" w:eastAsia="宋体" w:cs="Times New Roman"/>
          <w:highlight w:val="none"/>
          <w:lang w:val="en-US" w:eastAsia="zh-CN"/>
        </w:rPr>
        <w:t>规程中；</w:t>
      </w:r>
    </w:p>
    <w:p>
      <w:pPr>
        <w:keepNext w:val="0"/>
        <w:keepLines w:val="0"/>
        <w:pageBreakBefore w:val="0"/>
        <w:widowControl w:val="0"/>
        <w:numPr>
          <w:ilvl w:val="4"/>
          <w:numId w:val="79"/>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抽取1个区间道岔、1个综合车场道岔开展现场查勘，核查评估内容已落实到维护保养相关岗位职责和维护规程。</w:t>
      </w:r>
    </w:p>
    <w:bookmarkEnd w:id="239"/>
    <w:p>
      <w:pPr>
        <w:pStyle w:val="106"/>
        <w:spacing w:before="240" w:after="240"/>
        <w:rPr>
          <w:rFonts w:hint="eastAsia" w:hAnsi="Times New Roman" w:cs="Times New Roman"/>
          <w:lang w:val="en-US" w:eastAsia="zh-CN"/>
        </w:rPr>
      </w:pPr>
      <w:bookmarkStart w:id="254" w:name="_Toc13526"/>
      <w:bookmarkStart w:id="255" w:name="_Toc16713"/>
      <w:bookmarkStart w:id="256" w:name="_Toc32089"/>
      <w:bookmarkStart w:id="257" w:name="_Toc20993"/>
      <w:bookmarkStart w:id="258" w:name="_Toc14920"/>
      <w:r>
        <w:rPr>
          <w:rFonts w:hint="eastAsia" w:hAnsi="Times New Roman" w:cs="Times New Roman"/>
          <w:lang w:val="en-US" w:eastAsia="zh-CN"/>
        </w:rPr>
        <w:t>运营人员</w:t>
      </w:r>
      <w:bookmarkEnd w:id="254"/>
      <w:bookmarkEnd w:id="255"/>
      <w:bookmarkEnd w:id="256"/>
      <w:bookmarkEnd w:id="257"/>
      <w:bookmarkEnd w:id="258"/>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59" w:name="_Toc19673"/>
      <w:bookmarkStart w:id="260" w:name="_Toc23627"/>
      <w:bookmarkStart w:id="261" w:name="_Toc7954"/>
      <w:bookmarkStart w:id="262" w:name="_Toc30617"/>
      <w:r>
        <w:rPr>
          <w:rFonts w:hint="eastAsia" w:ascii="宋体" w:hAnsi="宋体" w:eastAsia="宋体" w:cs="宋体"/>
          <w:highlight w:val="none"/>
          <w:lang w:val="en-US" w:eastAsia="zh-CN"/>
        </w:rPr>
        <w:t>司乘、调度、维护等运营岗位人员应掌握专业知识，并持续接受安全教育和岗位技能培训。评估内容如下：</w:t>
      </w:r>
      <w:bookmarkEnd w:id="259"/>
      <w:bookmarkEnd w:id="260"/>
      <w:bookmarkEnd w:id="261"/>
      <w:bookmarkEnd w:id="262"/>
    </w:p>
    <w:p>
      <w:pPr>
        <w:keepNext w:val="0"/>
        <w:keepLines w:val="0"/>
        <w:pageBreakBefore w:val="0"/>
        <w:widowControl w:val="0"/>
        <w:numPr>
          <w:ilvl w:val="4"/>
          <w:numId w:val="8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抽查岗位人员安全教育和技能培训记录，培训内容、学时、考核等要求应与运营单位的培训计划和培训有关规定一致；</w:t>
      </w:r>
    </w:p>
    <w:p>
      <w:pPr>
        <w:keepNext w:val="0"/>
        <w:keepLines w:val="0"/>
        <w:pageBreakBefore w:val="0"/>
        <w:widowControl w:val="0"/>
        <w:numPr>
          <w:ilvl w:val="4"/>
          <w:numId w:val="8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现场抽查岗位人员职责内专业知识的掌握情况，包括岗位工作流程、设备操作、突发事件应急处置等内容；</w:t>
      </w:r>
    </w:p>
    <w:p>
      <w:pPr>
        <w:keepNext w:val="0"/>
        <w:keepLines w:val="0"/>
        <w:pageBreakBefore w:val="0"/>
        <w:widowControl w:val="0"/>
        <w:numPr>
          <w:ilvl w:val="4"/>
          <w:numId w:val="80"/>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查阅考试不合格人员的补考记录，对考核不符合要求的人员已按规定进行岗位调整。</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63" w:name="_Toc24298"/>
      <w:bookmarkStart w:id="264" w:name="_Toc19048"/>
      <w:bookmarkStart w:id="265" w:name="_Toc9260"/>
      <w:bookmarkStart w:id="266" w:name="_Toc21200"/>
      <w:r>
        <w:rPr>
          <w:rFonts w:hint="eastAsia" w:ascii="宋体" w:hAnsi="宋体" w:eastAsia="宋体" w:cs="宋体"/>
          <w:highlight w:val="none"/>
          <w:lang w:val="en-US" w:eastAsia="zh-CN"/>
        </w:rPr>
        <w:t>新增的运营人员，应经岗位培训合格后持证上岗。转岗员工或脱岗6个月以上的复岗员工，应通过相关再教育培训，经考核合格后方可上岗。从其他线路调入本线的人员，应经过本线路的学习考试，并在经验丰富的人员指导和监督下进行不少于7 d的现场业务操作。评估内容如下：</w:t>
      </w:r>
      <w:bookmarkEnd w:id="263"/>
      <w:bookmarkEnd w:id="264"/>
      <w:bookmarkEnd w:id="265"/>
      <w:bookmarkEnd w:id="266"/>
    </w:p>
    <w:p>
      <w:pPr>
        <w:keepNext w:val="0"/>
        <w:keepLines w:val="0"/>
        <w:pageBreakBefore w:val="0"/>
        <w:widowControl w:val="0"/>
        <w:numPr>
          <w:ilvl w:val="4"/>
          <w:numId w:val="8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抽查新增和转线人员的培训记录、上岗证，应符合T/URTA 0005的有关规定；</w:t>
      </w:r>
    </w:p>
    <w:p>
      <w:pPr>
        <w:keepNext w:val="0"/>
        <w:keepLines w:val="0"/>
        <w:pageBreakBefore w:val="0"/>
        <w:widowControl w:val="0"/>
        <w:numPr>
          <w:ilvl w:val="4"/>
          <w:numId w:val="8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抽查转岗、复岗员工再教育培训记录、上岗证。</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67" w:name="_Toc14964"/>
      <w:bookmarkStart w:id="268" w:name="_Toc2427"/>
      <w:bookmarkStart w:id="269" w:name="_Toc16086"/>
      <w:bookmarkStart w:id="270" w:name="_Toc3184"/>
      <w:r>
        <w:rPr>
          <w:rFonts w:hint="eastAsia" w:ascii="宋体" w:hAnsi="宋体" w:eastAsia="宋体" w:cs="宋体"/>
          <w:highlight w:val="none"/>
          <w:lang w:val="en-US" w:eastAsia="zh-CN"/>
        </w:rPr>
        <w:t>运营单位应定期对定岗人员开展专业技能培训。评估时应抽查定岗员工培训记录，应与年度培训计划相一致。</w:t>
      </w:r>
      <w:bookmarkEnd w:id="267"/>
      <w:bookmarkEnd w:id="268"/>
      <w:bookmarkEnd w:id="269"/>
      <w:bookmarkEnd w:id="270"/>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71" w:name="_Toc30801"/>
      <w:bookmarkStart w:id="272" w:name="_Toc22126"/>
      <w:bookmarkStart w:id="273" w:name="_Toc9576"/>
      <w:bookmarkStart w:id="274" w:name="_Toc30961"/>
      <w:r>
        <w:rPr>
          <w:rFonts w:hint="eastAsia" w:ascii="宋体" w:hAnsi="宋体" w:eastAsia="宋体" w:cs="宋体"/>
          <w:highlight w:val="none"/>
          <w:lang w:val="en-US" w:eastAsia="zh-CN"/>
        </w:rPr>
        <w:t>运营单位特种设备作业人员及特种设备管理人员，应按国家有关规定取得特种设备作业人员证及特种设备安全管理人员证。评估时应抽查相关人员配置、持证情况。</w:t>
      </w:r>
      <w:bookmarkEnd w:id="271"/>
      <w:bookmarkEnd w:id="272"/>
      <w:bookmarkEnd w:id="273"/>
      <w:bookmarkEnd w:id="274"/>
    </w:p>
    <w:p>
      <w:pPr>
        <w:pStyle w:val="106"/>
        <w:spacing w:before="240" w:after="240"/>
        <w:rPr>
          <w:rFonts w:hint="eastAsia" w:hAnsi="Times New Roman" w:cs="Times New Roman"/>
          <w:lang w:val="en-US" w:eastAsia="zh-CN"/>
        </w:rPr>
      </w:pPr>
      <w:bookmarkStart w:id="275" w:name="_Toc32379"/>
      <w:bookmarkStart w:id="276" w:name="_Toc18761"/>
      <w:bookmarkStart w:id="277" w:name="_Toc4922"/>
      <w:bookmarkStart w:id="278" w:name="_Toc26150"/>
      <w:bookmarkStart w:id="279" w:name="_Toc23051"/>
      <w:r>
        <w:rPr>
          <w:rFonts w:hint="eastAsia" w:hAnsi="Times New Roman" w:cs="Times New Roman"/>
          <w:lang w:val="en-US" w:eastAsia="zh-CN"/>
        </w:rPr>
        <w:t>应急管理</w:t>
      </w:r>
      <w:bookmarkEnd w:id="275"/>
      <w:bookmarkEnd w:id="276"/>
      <w:bookmarkEnd w:id="277"/>
      <w:bookmarkEnd w:id="278"/>
      <w:bookmarkEnd w:id="279"/>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80" w:name="_Toc12467"/>
      <w:bookmarkStart w:id="281" w:name="_Toc22828"/>
      <w:bookmarkStart w:id="282" w:name="_Toc31465"/>
      <w:bookmarkStart w:id="283" w:name="_Toc32650"/>
      <w:bookmarkStart w:id="284" w:name="_Toc86419547"/>
      <w:bookmarkStart w:id="285" w:name="_Toc3563"/>
      <w:bookmarkStart w:id="286" w:name="_Toc27829"/>
      <w:bookmarkStart w:id="287" w:name="_Toc7167"/>
      <w:bookmarkStart w:id="288" w:name="_Toc11342"/>
      <w:r>
        <w:rPr>
          <w:rFonts w:hint="eastAsia" w:ascii="宋体" w:hAnsi="宋体" w:eastAsia="宋体" w:cs="宋体"/>
          <w:highlight w:val="none"/>
          <w:lang w:val="en-US" w:eastAsia="zh-CN"/>
        </w:rPr>
        <w:t>运营突发事件处置工作机制联动有效、运转顺畅，有效保障应急措施落实。评估内容如下：</w:t>
      </w:r>
      <w:bookmarkEnd w:id="280"/>
      <w:bookmarkEnd w:id="281"/>
    </w:p>
    <w:p>
      <w:pPr>
        <w:keepNext w:val="0"/>
        <w:keepLines w:val="0"/>
        <w:pageBreakBefore w:val="0"/>
        <w:widowControl w:val="0"/>
        <w:numPr>
          <w:ilvl w:val="4"/>
          <w:numId w:val="8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查阅运营突发事件应急处置机制相关文件，核查下列要求已落实到有关应急管理制度，相关机制得到有效运行：</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运营突发事件应急处置工作机制中各相关部门和单位的职责分工清晰，突发事件应急响应程序合理、环节完整；应急预案现场组织、后期处置、应急保障、教育和演练等内容进行细化和分解，应急抢险的责任落实到具体部门及岗位；</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信息报送、应急值守和报告、运营突发事件报送、公众信息发布等应急管理制度健全；</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与属地政府及其相关部门、医疗、公交等单位在信息传递、预警响应、应急处置、社会面控制、紧急疏散和善后恢复等方面建立的协调联动机制完善，联系人、联系方式等信息准确；</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应急救援队伍协同处置和跨区域联动、应急资源共享等协调机制顺畅。</w:t>
      </w:r>
    </w:p>
    <w:p>
      <w:pPr>
        <w:keepNext w:val="0"/>
        <w:keepLines w:val="0"/>
        <w:pageBreakBefore w:val="0"/>
        <w:widowControl w:val="0"/>
        <w:numPr>
          <w:ilvl w:val="4"/>
          <w:numId w:val="82"/>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核查与属地政府、公安、医院、公交等外单位联络机制运转情况。</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289" w:name="_Toc15192"/>
      <w:bookmarkStart w:id="290" w:name="_Toc13594"/>
      <w:bookmarkStart w:id="291" w:name="_Toc3527"/>
      <w:bookmarkStart w:id="292" w:name="_Toc86419548"/>
      <w:bookmarkStart w:id="293" w:name="_Toc9412"/>
      <w:bookmarkStart w:id="294" w:name="_Toc14658"/>
      <w:bookmarkStart w:id="295" w:name="_Toc32498"/>
      <w:bookmarkStart w:id="296" w:name="_Toc15419"/>
      <w:bookmarkStart w:id="297" w:name="_Toc13267"/>
      <w:bookmarkStart w:id="298" w:name="_Toc30884"/>
      <w:bookmarkStart w:id="299" w:name="_Toc86419551"/>
      <w:bookmarkStart w:id="300" w:name="_Toc24043"/>
      <w:bookmarkStart w:id="301" w:name="_Toc12022"/>
      <w:bookmarkStart w:id="302" w:name="_Toc23858"/>
      <w:bookmarkStart w:id="303" w:name="_Toc27138"/>
      <w:bookmarkStart w:id="304" w:name="_Toc13287"/>
      <w:r>
        <w:rPr>
          <w:rFonts w:hint="eastAsia" w:ascii="宋体" w:hAnsi="宋体" w:eastAsia="宋体" w:cs="宋体"/>
          <w:highlight w:val="none"/>
          <w:lang w:val="en-US" w:eastAsia="zh-CN"/>
        </w:rPr>
        <w:t>运营单位应按照有关法律法规和标准规范要求、安全生产条件的变化、应急处置、应急演练等情况，评估应急预案程序和措施的适应性，及时修订完善综合应急预案、专项应急预案和现场处置方案，并按规定备案。评估内容如下：</w:t>
      </w:r>
      <w:bookmarkEnd w:id="289"/>
      <w:bookmarkEnd w:id="290"/>
      <w:bookmarkEnd w:id="291"/>
      <w:bookmarkEnd w:id="292"/>
      <w:bookmarkEnd w:id="293"/>
      <w:bookmarkEnd w:id="294"/>
      <w:bookmarkEnd w:id="295"/>
    </w:p>
    <w:p>
      <w:pPr>
        <w:keepNext w:val="0"/>
        <w:keepLines w:val="0"/>
        <w:pageBreakBefore w:val="0"/>
        <w:widowControl w:val="0"/>
        <w:numPr>
          <w:ilvl w:val="4"/>
          <w:numId w:val="8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查阅应急预案文本及备案文件，检查应急预案评估报告和应急预案修订记录；</w:t>
      </w:r>
    </w:p>
    <w:p>
      <w:pPr>
        <w:keepNext w:val="0"/>
        <w:keepLines w:val="0"/>
        <w:pageBreakBefore w:val="0"/>
        <w:widowControl w:val="0"/>
        <w:numPr>
          <w:ilvl w:val="4"/>
          <w:numId w:val="8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查阅初期运营期间应急事件处置记录和处置工作总结，检查发生应急事件时的应急预案启动及落实情况；</w:t>
      </w:r>
    </w:p>
    <w:p>
      <w:pPr>
        <w:keepNext w:val="0"/>
        <w:keepLines w:val="0"/>
        <w:pageBreakBefore w:val="0"/>
        <w:widowControl w:val="0"/>
        <w:numPr>
          <w:ilvl w:val="4"/>
          <w:numId w:val="83"/>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抽取至少3份现场处置方案进行核查，现场处置方案应明确现场指挥负责人、各岗位职责和分工、应急处置具体流程、注意事项、应急抢险物资清单等。</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305" w:name="_Toc13505"/>
      <w:bookmarkStart w:id="306" w:name="_Toc5808"/>
      <w:bookmarkStart w:id="307" w:name="_Toc26527"/>
      <w:bookmarkStart w:id="308" w:name="_Toc32675"/>
      <w:bookmarkStart w:id="309" w:name="_Toc18208"/>
      <w:bookmarkStart w:id="310" w:name="_Toc86419549"/>
      <w:bookmarkStart w:id="311" w:name="_Toc27658"/>
      <w:r>
        <w:rPr>
          <w:rFonts w:hint="eastAsia" w:ascii="宋体" w:hAnsi="宋体" w:eastAsia="宋体" w:cs="宋体"/>
          <w:highlight w:val="none"/>
          <w:lang w:val="en-US" w:eastAsia="zh-CN"/>
        </w:rPr>
        <w:t>运营单位应按规定针对综合应急预案、专项应急预案、现场处置方案开展应急演练，并参加相关部门和单位组织的综合性应急演练，评估应急演练工作，总结经验教训。评估内容如下：</w:t>
      </w:r>
      <w:bookmarkEnd w:id="305"/>
      <w:bookmarkEnd w:id="306"/>
      <w:bookmarkEnd w:id="307"/>
      <w:bookmarkEnd w:id="308"/>
      <w:bookmarkEnd w:id="309"/>
      <w:bookmarkEnd w:id="310"/>
      <w:bookmarkEnd w:id="311"/>
    </w:p>
    <w:p>
      <w:pPr>
        <w:keepNext w:val="0"/>
        <w:keepLines w:val="0"/>
        <w:pageBreakBefore w:val="0"/>
        <w:widowControl w:val="0"/>
        <w:numPr>
          <w:ilvl w:val="4"/>
          <w:numId w:val="8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运营单位综合及专项年度应急演练计划、演练记录、演练评估及总结报告，核查演练计划得到有效落实，其中综合应急预案实战演练每半年至少组织一次、专项应急预案实战演练每半年至少组织一次、专项应急预案具备至少每3年全部演练一次的要求；</w:t>
      </w:r>
    </w:p>
    <w:p>
      <w:pPr>
        <w:keepNext w:val="0"/>
        <w:keepLines w:val="0"/>
        <w:pageBreakBefore w:val="0"/>
        <w:widowControl w:val="0"/>
        <w:numPr>
          <w:ilvl w:val="4"/>
          <w:numId w:val="84"/>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查阅应急演练评估报告，发现的问题已及时整改，涉及应急处置机制、作业标准、操作规程和管理规定等有缺陷的，已在3个月内修订完善相关预案和制度。</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312" w:name="_Toc86419550"/>
      <w:bookmarkStart w:id="313" w:name="_Toc22588"/>
      <w:bookmarkStart w:id="314" w:name="_Toc20951"/>
      <w:bookmarkStart w:id="315" w:name="_Toc24638"/>
      <w:bookmarkStart w:id="316" w:name="_Toc9296"/>
      <w:bookmarkStart w:id="317" w:name="_Toc5934"/>
      <w:bookmarkStart w:id="318" w:name="_Toc13326"/>
      <w:r>
        <w:rPr>
          <w:rFonts w:hint="eastAsia" w:ascii="宋体" w:hAnsi="宋体" w:eastAsia="宋体" w:cs="宋体"/>
          <w:highlight w:val="none"/>
          <w:lang w:val="en-US" w:eastAsia="zh-CN"/>
        </w:rPr>
        <w:t>运营单位应定期检查、更新应急救援物资和装备，组织应急抢险队伍训练，满足应急救援需要。评估内容如下：</w:t>
      </w:r>
      <w:bookmarkEnd w:id="312"/>
      <w:bookmarkEnd w:id="313"/>
      <w:bookmarkEnd w:id="314"/>
      <w:bookmarkEnd w:id="315"/>
      <w:bookmarkEnd w:id="316"/>
      <w:bookmarkEnd w:id="317"/>
      <w:bookmarkEnd w:id="318"/>
    </w:p>
    <w:p>
      <w:pPr>
        <w:keepNext w:val="0"/>
        <w:keepLines w:val="0"/>
        <w:pageBreakBefore w:val="0"/>
        <w:widowControl w:val="0"/>
        <w:numPr>
          <w:ilvl w:val="4"/>
          <w:numId w:val="8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查阅应急救援物资及装备相关制度及台账、相关应急救援记录，核查下列要求已得到落实：</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车站按照业务需求配备抢险抢修专用工具、应急物资、备品备件及必备的防护用具等应急保障设施设备，并定期组织检查，确保齐全、完好、有效；</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应具有建立应急救援物资的有关制度和记录，包括物资清单、物资使用管理制度、物资测试检修制度、物资租用制度或协议、资料管理制度、物资调用和使用记录、以及物资检查维护、更新记录；</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应急救援物资及装备的配置、验收、维护、保养和调用，应符合有关制度及应急救援需要，宜按照统一标准格式建立信息数据库并及时更新。</w:t>
      </w:r>
    </w:p>
    <w:p>
      <w:pPr>
        <w:keepNext w:val="0"/>
        <w:keepLines w:val="0"/>
        <w:pageBreakBefore w:val="0"/>
        <w:widowControl w:val="0"/>
        <w:numPr>
          <w:ilvl w:val="4"/>
          <w:numId w:val="8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抽查不少于2座车站，现场核查应急救援物资和装备的存储、种类、数量、状态，应与预案规定相符。</w:t>
      </w:r>
    </w:p>
    <w:p>
      <w:pPr>
        <w:keepNext w:val="0"/>
        <w:keepLines w:val="0"/>
        <w:pageBreakBefore w:val="0"/>
        <w:widowControl w:val="0"/>
        <w:numPr>
          <w:ilvl w:val="4"/>
          <w:numId w:val="85"/>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查阅应急救援队伍档案，培训、训练记录及考核记录，培训及训练发现的问题已整改落实。</w:t>
      </w:r>
    </w:p>
    <w:bookmarkEnd w:id="296"/>
    <w:bookmarkEnd w:id="297"/>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bookmarkStart w:id="319" w:name="_Toc30284"/>
      <w:bookmarkStart w:id="320" w:name="_Toc18838"/>
      <w:r>
        <w:rPr>
          <w:rFonts w:hint="eastAsia" w:ascii="宋体" w:hAnsi="宋体" w:eastAsia="宋体" w:cs="宋体"/>
          <w:highlight w:val="none"/>
          <w:lang w:val="en-US" w:eastAsia="zh-CN"/>
        </w:rPr>
        <w:t>应针对运营险性事件开展技术分析，形成技术分析报告，围绕运营险性事件深入查找问题及不足，制定并落实针对性整改措施，及时消除隐患。评估内容如下：</w:t>
      </w:r>
      <w:bookmarkEnd w:id="319"/>
      <w:bookmarkEnd w:id="320"/>
    </w:p>
    <w:p>
      <w:pPr>
        <w:keepNext w:val="0"/>
        <w:keepLines w:val="0"/>
        <w:pageBreakBefore w:val="0"/>
        <w:widowControl w:val="0"/>
        <w:numPr>
          <w:ilvl w:val="4"/>
          <w:numId w:val="8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抽查运营险性事件技术分析报告，报告内容应完整，技术文件、数据和资料应真实、齐全，核查各项整改措施得到有效落实；</w:t>
      </w:r>
    </w:p>
    <w:p>
      <w:pPr>
        <w:keepNext w:val="0"/>
        <w:keepLines w:val="0"/>
        <w:pageBreakBefore w:val="0"/>
        <w:widowControl w:val="0"/>
        <w:numPr>
          <w:ilvl w:val="4"/>
          <w:numId w:val="86"/>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发生过列车冲突、撞击以及桥梁结构坍塌等险性事件的，应视情况开展下列安全检查或系统测试：</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信号防护、火灾联动等系统联动测试；</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限界检查；</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应急供电能力测试；</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车站紧急疏散能力和应急照明检查；</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列车超速防护等防护测试；</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hint="eastAsia" w:ascii="宋体" w:hAnsi="Times New Roman" w:eastAsia="宋体" w:cs="Times New Roman"/>
          <w:highlight w:val="none"/>
        </w:rPr>
      </w:pPr>
      <w:r>
        <w:rPr>
          <w:rFonts w:hint="eastAsia" w:ascii="宋体" w:hAnsi="Times New Roman" w:eastAsia="宋体" w:cs="Times New Roman"/>
          <w:highlight w:val="none"/>
        </w:rPr>
        <w:t>根据T/URTA 0003开展</w:t>
      </w:r>
      <w:r>
        <w:rPr>
          <w:rFonts w:hint="eastAsia" w:ascii="宋体" w:hAnsi="Times New Roman" w:eastAsia="宋体" w:cs="Times New Roman"/>
          <w:highlight w:val="none"/>
          <w:lang w:eastAsia="zh-CN"/>
        </w:rPr>
        <w:t>相关</w:t>
      </w:r>
      <w:r>
        <w:rPr>
          <w:rFonts w:hint="eastAsia" w:ascii="宋体" w:hAnsi="Times New Roman" w:eastAsia="宋体" w:cs="Times New Roman"/>
          <w:highlight w:val="none"/>
        </w:rPr>
        <w:t>全自动运行场景复核；</w:t>
      </w:r>
    </w:p>
    <w:p>
      <w:pPr>
        <w:keepNext w:val="0"/>
        <w:keepLines w:val="0"/>
        <w:pageBreakBefore w:val="0"/>
        <w:widowControl w:val="0"/>
        <w:numPr>
          <w:ilvl w:val="0"/>
          <w:numId w:val="66"/>
        </w:numPr>
        <w:kinsoku/>
        <w:wordWrap/>
        <w:overflowPunct/>
        <w:topLinePunct w:val="0"/>
        <w:autoSpaceDE w:val="0"/>
        <w:autoSpaceDN w:val="0"/>
        <w:bidi w:val="0"/>
        <w:adjustRightInd w:val="0"/>
        <w:snapToGrid/>
        <w:spacing w:line="240" w:lineRule="auto"/>
        <w:ind w:left="1260" w:leftChars="400" w:hangingChars="200"/>
        <w:textAlignment w:val="auto"/>
        <w:rPr>
          <w:rFonts w:ascii="宋体" w:hAnsi="Times New Roman" w:eastAsia="宋体" w:cs="Times New Roman"/>
          <w:highlight w:val="none"/>
        </w:rPr>
      </w:pPr>
      <w:r>
        <w:rPr>
          <w:rFonts w:hint="eastAsia" w:ascii="宋体" w:hAnsi="Times New Roman" w:eastAsia="宋体" w:cs="Times New Roman"/>
          <w:highlight w:val="none"/>
        </w:rPr>
        <w:t>其他必要的安全功能和防护措施的检查或测试。</w:t>
      </w:r>
    </w:p>
    <w:p>
      <w:pPr>
        <w:pStyle w:val="107"/>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运营单位对本单位发生的运营险性事件按规定制作安全警示宣传等多种形式的安全警示材料，并开展警示教育活动。评估内容如下：</w:t>
      </w:r>
    </w:p>
    <w:p>
      <w:pPr>
        <w:keepNext w:val="0"/>
        <w:keepLines w:val="0"/>
        <w:pageBreakBefore w:val="0"/>
        <w:widowControl w:val="0"/>
        <w:numPr>
          <w:ilvl w:val="4"/>
          <w:numId w:val="8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查阅安全警示教育活动工作方案或计划、警示教育视频或图文材料、活动总结，具体如下：</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发生运营险性事件的，应在事件技术分析报告形成后一个月内组织开展警示教育，与运营险性事件专业相关的人员应参加警示教育；</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按规定完成对其他相关警示案例的警示教育；</w:t>
      </w:r>
    </w:p>
    <w:p>
      <w:pPr>
        <w:numPr>
          <w:ilvl w:val="0"/>
          <w:numId w:val="66"/>
        </w:numPr>
        <w:autoSpaceDE w:val="0"/>
        <w:autoSpaceDN w:val="0"/>
        <w:spacing w:line="240" w:lineRule="auto"/>
        <w:ind w:left="1260" w:leftChars="400" w:hangingChars="200"/>
        <w:rPr>
          <w:rFonts w:ascii="宋体" w:hAnsi="Times New Roman" w:eastAsia="宋体" w:cs="Times New Roman"/>
        </w:rPr>
      </w:pPr>
      <w:r>
        <w:rPr>
          <w:rFonts w:hint="eastAsia" w:ascii="宋体" w:hAnsi="Times New Roman" w:eastAsia="宋体" w:cs="Times New Roman"/>
        </w:rPr>
        <w:t>运营险性事件安全警示材料，应客观还原运营险性事件情况，警示目的清楚。</w:t>
      </w:r>
    </w:p>
    <w:p>
      <w:pPr>
        <w:keepNext w:val="0"/>
        <w:keepLines w:val="0"/>
        <w:pageBreakBefore w:val="0"/>
        <w:widowControl w:val="0"/>
        <w:numPr>
          <w:ilvl w:val="4"/>
          <w:numId w:val="87"/>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pPr>
      <w:r>
        <w:rPr>
          <w:rFonts w:hint="eastAsia" w:ascii="宋体" w:hAnsi="宋体" w:eastAsia="宋体" w:cs="Times New Roman"/>
          <w:highlight w:val="none"/>
          <w:lang w:val="en-US" w:eastAsia="zh-CN"/>
        </w:rPr>
        <w:t>抽取运营险性事件案例，抽查相关岗位工作人员，询问运营险性事件概括、事件原因、经验教训等，相关人员应基本了解情况，知晓警示目的。</w:t>
      </w:r>
    </w:p>
    <w:bookmarkEnd w:id="282"/>
    <w:bookmarkEnd w:id="283"/>
    <w:bookmarkEnd w:id="284"/>
    <w:bookmarkEnd w:id="285"/>
    <w:bookmarkEnd w:id="286"/>
    <w:bookmarkEnd w:id="287"/>
    <w:bookmarkEnd w:id="288"/>
    <w:bookmarkEnd w:id="298"/>
    <w:bookmarkEnd w:id="299"/>
    <w:bookmarkEnd w:id="300"/>
    <w:bookmarkEnd w:id="301"/>
    <w:bookmarkEnd w:id="302"/>
    <w:bookmarkEnd w:id="303"/>
    <w:bookmarkEnd w:id="304"/>
    <w:p>
      <w:pPr>
        <w:keepNext w:val="0"/>
        <w:keepLines w:val="0"/>
        <w:pageBreakBefore w:val="0"/>
        <w:widowControl w:val="0"/>
        <w:numPr>
          <w:ilvl w:val="4"/>
          <w:numId w:val="81"/>
        </w:numPr>
        <w:kinsoku/>
        <w:wordWrap/>
        <w:overflowPunct/>
        <w:topLinePunct w:val="0"/>
        <w:autoSpaceDE/>
        <w:autoSpaceDN/>
        <w:bidi w:val="0"/>
        <w:adjustRightInd w:val="0"/>
        <w:snapToGrid/>
        <w:spacing w:line="240" w:lineRule="auto"/>
        <w:ind w:left="852" w:leftChars="200" w:hanging="432" w:hangingChars="206"/>
        <w:textAlignment w:val="auto"/>
        <w:rPr>
          <w:rFonts w:hint="eastAsia" w:ascii="宋体" w:hAnsi="宋体" w:eastAsia="宋体" w:cs="Times New Roman"/>
          <w:highlight w:val="none"/>
          <w:lang w:val="en-US" w:eastAsia="zh-CN"/>
        </w:rPr>
        <w:sectPr>
          <w:pgSz w:w="11906" w:h="16838"/>
          <w:pgMar w:top="2410" w:right="1134" w:bottom="1134" w:left="1134" w:header="1418" w:footer="1134" w:gutter="284"/>
          <w:pgNumType w:start="1"/>
          <w:cols w:space="425" w:num="1"/>
          <w:formProt w:val="0"/>
          <w:docGrid w:linePitch="312" w:charSpace="0"/>
        </w:sectPr>
      </w:pPr>
    </w:p>
    <w:p>
      <w:pPr>
        <w:pStyle w:val="78"/>
        <w:spacing w:before="60" w:after="120"/>
      </w:pPr>
      <w:bookmarkStart w:id="321" w:name="_Toc2582"/>
      <w:r>
        <w:br w:type="textWrapping"/>
      </w:r>
      <w:bookmarkStart w:id="322" w:name="_Toc82684584"/>
      <w:bookmarkStart w:id="323" w:name="_Toc82676893"/>
      <w:bookmarkStart w:id="324" w:name="_Toc82677006"/>
      <w:r>
        <w:rPr>
          <w:rFonts w:hint="eastAsia"/>
        </w:rPr>
        <w:t>（规范性）</w:t>
      </w:r>
      <w:r>
        <w:br w:type="textWrapping"/>
      </w:r>
      <w:r>
        <w:rPr>
          <w:rFonts w:hint="eastAsia"/>
        </w:rPr>
        <w:t>运营指标计算方法</w:t>
      </w:r>
      <w:bookmarkEnd w:id="321"/>
      <w:bookmarkEnd w:id="322"/>
      <w:bookmarkEnd w:id="323"/>
      <w:bookmarkEnd w:id="324"/>
    </w:p>
    <w:p>
      <w:pPr>
        <w:pStyle w:val="80"/>
        <w:spacing w:before="120" w:after="120"/>
      </w:pPr>
      <w:bookmarkStart w:id="325" w:name="_Toc19233"/>
      <w:bookmarkStart w:id="326" w:name="_Toc82676894"/>
      <w:bookmarkStart w:id="327" w:name="_Toc82677007"/>
      <w:bookmarkStart w:id="328" w:name="_Toc82684585"/>
      <w:r>
        <w:rPr>
          <w:rFonts w:hint="eastAsia"/>
        </w:rPr>
        <w:t>列车运行图兑现率</w:t>
      </w:r>
      <w:bookmarkEnd w:id="325"/>
      <w:bookmarkEnd w:id="326"/>
      <w:bookmarkEnd w:id="327"/>
      <w:bookmarkEnd w:id="328"/>
    </w:p>
    <w:p>
      <w:pPr>
        <w:pStyle w:val="81"/>
        <w:spacing w:before="120" w:after="120"/>
      </w:pPr>
      <w:r>
        <w:rPr>
          <w:rFonts w:hint="eastAsia"/>
        </w:rPr>
        <w:t>定义</w:t>
      </w:r>
    </w:p>
    <w:p>
      <w:pPr>
        <w:pStyle w:val="58"/>
        <w:ind w:firstLine="420"/>
      </w:pPr>
      <w:r>
        <w:rPr>
          <w:rFonts w:hint="eastAsia"/>
        </w:rPr>
        <w:t>统计期内，实际开行列车次数与列车运行图图定开行列车次数之比，实际开行的列车次数中不包括临时加开的列车次数。</w:t>
      </w:r>
    </w:p>
    <w:p>
      <w:pPr>
        <w:pStyle w:val="81"/>
        <w:spacing w:before="120" w:after="120"/>
      </w:pPr>
      <w:r>
        <w:rPr>
          <w:rFonts w:hint="eastAsia"/>
        </w:rPr>
        <w:t>计算方法</w:t>
      </w:r>
    </w:p>
    <w:p>
      <w:pPr>
        <w:pStyle w:val="58"/>
        <w:ind w:firstLine="420"/>
      </w:pPr>
      <w:r>
        <w:rPr>
          <w:rFonts w:hint="eastAsia"/>
        </w:rPr>
        <w:t>列车运行图兑现率的计算方法见式A.1。</w:t>
      </w:r>
    </w:p>
    <w:p>
      <w:pPr>
        <w:pStyle w:val="115"/>
        <w:rPr>
          <w:rFonts w:hint="eastAsia" w:eastAsia="宋体"/>
          <w:lang w:eastAsia="zh-CN"/>
        </w:rPr>
      </w:pPr>
      <w:r>
        <w:tab/>
      </w:r>
      <m:oMath>
        <m:r>
          <m:rPr>
            <m:sty m:val="p"/>
          </m:rPr>
          <w:rPr>
            <w:rFonts w:ascii="Cambria Math" w:hAnsi="Cambria Math"/>
            <w:color w:val="000000"/>
          </w:rPr>
          <m:t>A=</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m:t>
                </m:r>
                <m:ctrlPr>
                  <w:rPr>
                    <w:rFonts w:ascii="Cambria Math" w:hAnsi="Cambria Math"/>
                    <w:i/>
                    <w:color w:val="000000"/>
                  </w:rPr>
                </m:ctrlPr>
              </m:sub>
            </m:sSub>
            <m:ctrlPr>
              <w:rPr>
                <w:rFonts w:ascii="Cambria Math" w:hAnsi="Cambria Math"/>
                <w:color w:val="000000"/>
              </w:rPr>
            </m:ctrlPr>
          </m:num>
          <m:den>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2</m:t>
                </m:r>
                <m:ctrlPr>
                  <w:rPr>
                    <w:rFonts w:ascii="Cambria Math" w:hAnsi="Cambria Math"/>
                    <w:i/>
                    <w:color w:val="000000"/>
                  </w:rPr>
                </m:ctrlPr>
              </m:sub>
            </m:sSub>
            <m:ctrlPr>
              <w:rPr>
                <w:rFonts w:ascii="Cambria Math" w:hAnsi="Cambria Math"/>
                <w:color w:val="000000"/>
              </w:rPr>
            </m:ctrlPr>
          </m:den>
        </m:f>
        <m:r>
          <w:rPr>
            <w:rFonts w:hint="eastAsia" w:ascii="Cambria Math" w:hAnsi="Cambria Math"/>
            <w:color w:val="000000"/>
          </w:rPr>
          <m:t>×</m:t>
        </m:r>
        <m: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1</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color w:val="000000"/>
            <w:szCs w:val="21"/>
            <w:highlight w:val="none"/>
          </w:rPr>
          <m:t>A</m:t>
        </m:r>
      </m:oMath>
      <w:r>
        <w:rPr>
          <w:rFonts w:hint="eastAsia" w:hAnsi="宋体" w:cs="宋体"/>
        </w:rPr>
        <w:t>——</w:t>
      </w:r>
      <w:r>
        <w:rPr>
          <w:rFonts w:hint="eastAsia"/>
        </w:rPr>
        <w:t>列车运行图兑现率；</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1</m:t>
            </m:r>
            <m:ctrlPr>
              <w:rPr>
                <w:rFonts w:ascii="Cambria Math" w:hAnsi="Cambria Math" w:cs="Times New Roman"/>
                <w:i/>
                <w:kern w:val="0"/>
                <w:szCs w:val="20"/>
                <w:highlight w:val="none"/>
              </w:rPr>
            </m:ctrlPr>
          </m:sub>
        </m:sSub>
      </m:oMath>
      <w:r>
        <w:rPr>
          <w:rFonts w:hint="eastAsia" w:hAnsi="宋体" w:cs="宋体"/>
        </w:rPr>
        <w:t>——</w:t>
      </w:r>
      <w:r>
        <w:rPr>
          <w:rFonts w:hint="eastAsia"/>
        </w:rPr>
        <w:t>实际开行列车次数，即完成列车运行图中规定的列车开行计划的列车数量，单位为列；</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2</m:t>
            </m:r>
            <m:ctrlPr>
              <w:rPr>
                <w:rFonts w:ascii="Cambria Math" w:hAnsi="Cambria Math" w:cs="Times New Roman"/>
                <w:i/>
                <w:kern w:val="0"/>
                <w:szCs w:val="20"/>
                <w:highlight w:val="none"/>
              </w:rPr>
            </m:ctrlPr>
          </m:sub>
        </m:sSub>
      </m:oMath>
      <w:r>
        <w:rPr>
          <w:rFonts w:hint="eastAsia" w:hAnsi="宋体" w:cs="宋体"/>
        </w:rPr>
        <w:t>——</w:t>
      </w:r>
      <w:r>
        <w:rPr>
          <w:rFonts w:hint="eastAsia"/>
        </w:rPr>
        <w:t>列车运行图图定开行列车次数，即列车运行图中规定的开行列车数量，单位为列。</w:t>
      </w:r>
    </w:p>
    <w:p>
      <w:pPr>
        <w:pStyle w:val="80"/>
        <w:spacing w:before="120" w:after="120"/>
      </w:pPr>
      <w:bookmarkStart w:id="329" w:name="_Toc82676895"/>
      <w:bookmarkStart w:id="330" w:name="_Toc82677008"/>
      <w:bookmarkStart w:id="331" w:name="_Toc82684586"/>
      <w:bookmarkStart w:id="332" w:name="_Toc29758"/>
      <w:r>
        <w:rPr>
          <w:rFonts w:hint="eastAsia"/>
        </w:rPr>
        <w:t>列车正点率</w:t>
      </w:r>
      <w:bookmarkEnd w:id="329"/>
      <w:bookmarkEnd w:id="330"/>
      <w:bookmarkEnd w:id="331"/>
      <w:bookmarkEnd w:id="332"/>
    </w:p>
    <w:p>
      <w:pPr>
        <w:pStyle w:val="81"/>
        <w:spacing w:before="120" w:after="120"/>
      </w:pPr>
      <w:r>
        <w:rPr>
          <w:rFonts w:hint="eastAsia"/>
        </w:rPr>
        <w:t>定义</w:t>
      </w:r>
    </w:p>
    <w:p>
      <w:pPr>
        <w:pStyle w:val="58"/>
        <w:ind w:firstLine="420"/>
      </w:pPr>
      <w:r>
        <w:rPr>
          <w:rFonts w:hint="eastAsia"/>
        </w:rPr>
        <w:t>统计期内，正点列车次数与实际开行列车次数之比。</w:t>
      </w:r>
    </w:p>
    <w:p>
      <w:pPr>
        <w:pStyle w:val="81"/>
        <w:spacing w:before="120" w:after="120"/>
      </w:pPr>
      <w:r>
        <w:rPr>
          <w:rFonts w:hint="eastAsia"/>
        </w:rPr>
        <w:t>计算方法</w:t>
      </w:r>
    </w:p>
    <w:p>
      <w:pPr>
        <w:pStyle w:val="58"/>
        <w:ind w:firstLine="420"/>
      </w:pPr>
      <w:r>
        <w:rPr>
          <w:rFonts w:hint="eastAsia"/>
        </w:rPr>
        <w:t>列车正点率</w:t>
      </w:r>
      <w:r>
        <w:rPr>
          <w:rFonts w:hint="eastAsia"/>
          <w:lang w:val="en-US" w:eastAsia="zh-CN"/>
        </w:rPr>
        <w:t>的计算方法见</w:t>
      </w:r>
      <w:r>
        <w:rPr>
          <w:rFonts w:hint="eastAsia"/>
        </w:rPr>
        <w:t>式A.2。</w:t>
      </w:r>
    </w:p>
    <w:p>
      <w:pPr>
        <w:pStyle w:val="115"/>
        <w:rPr>
          <w:rFonts w:hint="eastAsia" w:eastAsia="宋体"/>
          <w:lang w:eastAsia="zh-CN"/>
        </w:rPr>
      </w:pPr>
      <w:r>
        <w:tab/>
      </w:r>
      <m:oMath>
        <m:r>
          <m:rPr>
            <m:sty m:val="p"/>
          </m:rPr>
          <w:rPr>
            <w:rFonts w:ascii="Cambria Math" w:hAnsi="Cambria Math"/>
            <w:color w:val="000000"/>
          </w:rPr>
          <m:t>B=</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3</m:t>
                </m:r>
                <m:ctrlPr>
                  <w:rPr>
                    <w:rFonts w:ascii="Cambria Math" w:hAnsi="Cambria Math"/>
                    <w:i/>
                    <w:color w:val="000000"/>
                  </w:rPr>
                </m:ctrlPr>
              </m:sub>
            </m:sSub>
            <m:ctrlPr>
              <w:rPr>
                <w:rFonts w:ascii="Cambria Math" w:hAnsi="Cambria Math"/>
                <w:color w:val="000000"/>
              </w:rPr>
            </m:ctrlPr>
          </m:num>
          <m:den>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m:t>
                </m:r>
                <m:ctrlPr>
                  <w:rPr>
                    <w:rFonts w:ascii="Cambria Math" w:hAnsi="Cambria Math"/>
                    <w:i/>
                    <w:color w:val="000000"/>
                  </w:rPr>
                </m:ctrlPr>
              </m:sub>
            </m:sSub>
            <m:ctrlPr>
              <w:rPr>
                <w:rFonts w:ascii="Cambria Math" w:hAnsi="Cambria Math"/>
                <w:color w:val="000000"/>
              </w:rPr>
            </m:ctrlPr>
          </m:den>
        </m:f>
        <m:r>
          <w:rPr>
            <w:rFonts w:hint="eastAsia" w:ascii="Cambria Math" w:hAnsi="Cambria Math"/>
            <w:color w:val="000000"/>
          </w:rPr>
          <m:t>×</m:t>
        </m:r>
        <m: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2</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color w:val="000000"/>
            <w:szCs w:val="21"/>
            <w:highlight w:val="none"/>
          </w:rPr>
          <m:t>B</m:t>
        </m:r>
      </m:oMath>
      <w:r>
        <w:rPr>
          <w:rFonts w:hint="eastAsia" w:hAnsi="宋体" w:cs="宋体"/>
        </w:rPr>
        <w:t>——</w:t>
      </w:r>
      <w:r>
        <w:rPr>
          <w:rFonts w:hint="eastAsia"/>
        </w:rPr>
        <w:t>列车正点率；</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3</m:t>
            </m:r>
            <m:ctrlPr>
              <w:rPr>
                <w:rFonts w:ascii="Cambria Math" w:hAnsi="Cambria Math" w:cs="Times New Roman"/>
                <w:i/>
                <w:kern w:val="0"/>
                <w:szCs w:val="20"/>
                <w:highlight w:val="none"/>
              </w:rPr>
            </m:ctrlPr>
          </m:sub>
        </m:sSub>
      </m:oMath>
      <w:r>
        <w:rPr>
          <w:rFonts w:hint="eastAsia" w:hAnsi="宋体" w:cs="宋体"/>
        </w:rPr>
        <w:t>——</w:t>
      </w:r>
      <w:r>
        <w:rPr>
          <w:rFonts w:hint="eastAsia"/>
        </w:rPr>
        <w:t>正点列车次数，即统计期内，在执行列车运行图过程中，列车终点到站时刻与列车运行图计划到站时刻相比误差小于</w:t>
      </w:r>
      <w:r>
        <w:t>2 min</w:t>
      </w:r>
      <w:r>
        <w:rPr>
          <w:rFonts w:hint="eastAsia"/>
        </w:rPr>
        <w:t>的列车次数，单位为列。</w:t>
      </w:r>
    </w:p>
    <w:p>
      <w:pPr>
        <w:pStyle w:val="80"/>
        <w:spacing w:before="120" w:after="120"/>
      </w:pPr>
      <w:bookmarkStart w:id="333" w:name="_Toc82676896"/>
      <w:bookmarkStart w:id="334" w:name="_Toc82677009"/>
      <w:bookmarkStart w:id="335" w:name="_Toc21341"/>
      <w:bookmarkStart w:id="336" w:name="_Toc82684587"/>
      <w:r>
        <w:rPr>
          <w:rFonts w:hint="eastAsia"/>
        </w:rPr>
        <w:t>列车服务可靠度</w:t>
      </w:r>
      <w:bookmarkEnd w:id="333"/>
      <w:bookmarkEnd w:id="334"/>
      <w:bookmarkEnd w:id="335"/>
      <w:bookmarkEnd w:id="336"/>
    </w:p>
    <w:p>
      <w:pPr>
        <w:pStyle w:val="81"/>
        <w:spacing w:before="120" w:after="120"/>
      </w:pPr>
      <w:r>
        <w:rPr>
          <w:rFonts w:hint="eastAsia"/>
        </w:rPr>
        <w:t>定义</w:t>
      </w:r>
    </w:p>
    <w:p>
      <w:pPr>
        <w:pStyle w:val="58"/>
        <w:ind w:firstLine="420"/>
      </w:pPr>
      <w:r>
        <w:rPr>
          <w:rFonts w:hint="eastAsia"/>
        </w:rPr>
        <w:t>统计期内，全部列车总行车里程与5 min以上延误次数之比，单位为万列公里/次。</w:t>
      </w:r>
    </w:p>
    <w:p>
      <w:pPr>
        <w:pStyle w:val="81"/>
        <w:spacing w:before="120" w:after="120"/>
      </w:pPr>
      <w:r>
        <w:rPr>
          <w:rFonts w:hint="eastAsia"/>
        </w:rPr>
        <w:t>计算方法</w:t>
      </w:r>
    </w:p>
    <w:p>
      <w:pPr>
        <w:pStyle w:val="58"/>
        <w:ind w:firstLine="420"/>
      </w:pPr>
      <w:r>
        <w:rPr>
          <w:rFonts w:hint="eastAsia"/>
        </w:rPr>
        <w:t>列车服务可靠度的计算方法见式A.3。</w:t>
      </w:r>
    </w:p>
    <w:p>
      <w:pPr>
        <w:pStyle w:val="115"/>
        <w:rPr>
          <w:rFonts w:hint="eastAsia" w:eastAsia="宋体"/>
          <w:lang w:eastAsia="zh-CN"/>
        </w:rPr>
      </w:pPr>
      <w:r>
        <w:tab/>
      </w:r>
      <m:oMath>
        <m:r>
          <m:rPr>
            <m:sty m:val="p"/>
          </m:rPr>
          <w:rPr>
            <w:rFonts w:ascii="Cambria Math" w:hAnsi="Cambria Math"/>
            <w:color w:val="000000"/>
          </w:rPr>
          <m:t>C=</m:t>
        </m:r>
        <m:f>
          <m:fPr>
            <m:ctrlPr>
              <w:rPr>
                <w:rFonts w:ascii="Cambria Math" w:hAnsi="Cambria Math"/>
                <w:color w:val="000000"/>
              </w:rPr>
            </m:ctrlPr>
          </m:fPr>
          <m:num>
            <m:r>
              <w:rPr>
                <w:rFonts w:ascii="Cambria Math" w:hAnsi="Cambria Math"/>
                <w:color w:val="000000"/>
              </w:rPr>
              <m:t>L</m:t>
            </m:r>
            <m:ctrlPr>
              <w:rPr>
                <w:rFonts w:ascii="Cambria Math" w:hAnsi="Cambria Math"/>
                <w:color w:val="000000"/>
              </w:rPr>
            </m:ctrlPr>
          </m:num>
          <m:den>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4</m:t>
                </m:r>
                <m:ctrlPr>
                  <w:rPr>
                    <w:rFonts w:ascii="Cambria Math" w:hAnsi="Cambria Math"/>
                    <w:i/>
                    <w:color w:val="000000"/>
                  </w:rPr>
                </m:ctrlPr>
              </m:sub>
            </m:sSub>
            <m:ctrlPr>
              <w:rPr>
                <w:rFonts w:ascii="Cambria Math" w:hAnsi="Cambria Math"/>
                <w:color w:val="000000"/>
              </w:rPr>
            </m:ctrlPr>
          </m:den>
        </m:f>
      </m:oMath>
      <w:r>
        <w:rPr>
          <w:rFonts w:ascii="微软雅黑" w:hAnsi="微软雅黑" w:eastAsia="微软雅黑"/>
        </w:rPr>
        <w:tab/>
      </w:r>
      <w:r>
        <w:rPr>
          <w:rFonts w:hint="eastAsia"/>
          <w:lang w:eastAsia="zh-CN"/>
        </w:rPr>
        <w:t>（</w:t>
      </w:r>
      <w:r>
        <w:t>A.</w:t>
      </w:r>
      <w:r>
        <w:rPr>
          <w:rFonts w:hint="default"/>
          <w:lang w:val="en-US"/>
        </w:rPr>
        <w:t>3</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color w:val="000000"/>
            <w:szCs w:val="21"/>
            <w:highlight w:val="none"/>
          </w:rPr>
          <m:t>C</m:t>
        </m:r>
      </m:oMath>
      <w:r>
        <w:rPr>
          <w:rFonts w:hint="eastAsia" w:hAnsi="宋体" w:cs="宋体"/>
        </w:rPr>
        <w:t>——</w:t>
      </w:r>
      <w:r>
        <w:rPr>
          <w:rFonts w:hint="eastAsia"/>
        </w:rPr>
        <w:t>列车服务可靠度；</w:t>
      </w:r>
    </w:p>
    <w:p>
      <w:pPr>
        <w:pStyle w:val="58"/>
        <w:ind w:firstLine="420"/>
        <w:rPr>
          <w:highlight w:val="none"/>
        </w:rPr>
      </w:pPr>
      <m:oMath>
        <m:r>
          <w:rPr>
            <w:rFonts w:hint="default" w:ascii="Cambria Math" w:hAnsi="Cambria Math" w:eastAsia="宋体"/>
            <w:color w:val="000000"/>
            <w:szCs w:val="21"/>
            <w:highlight w:val="none"/>
            <w:lang w:val="en-US" w:eastAsia="zh-CN"/>
          </w:rPr>
          <m:t>L</m:t>
        </m:r>
      </m:oMath>
      <w:r>
        <w:rPr>
          <w:rFonts w:hint="eastAsia" w:hAnsi="宋体" w:cs="宋体"/>
          <w:highlight w:val="none"/>
        </w:rPr>
        <w:t>——</w:t>
      </w:r>
      <w:r>
        <w:rPr>
          <w:rFonts w:hint="eastAsia"/>
          <w:highlight w:val="none"/>
        </w:rPr>
        <w:t>全部列车总行车里程，单位为万列公里；</w:t>
      </w:r>
    </w:p>
    <w:p>
      <w:pPr>
        <w:pStyle w:val="58"/>
        <w:ind w:firstLine="420"/>
      </w:pPr>
      <m:oMath>
        <m:sSub>
          <m:sSubPr>
            <m:ctrlPr>
              <w:rPr>
                <w:rFonts w:hint="eastAsia" w:ascii="Cambria Math" w:hAnsi="Cambria Math" w:cs="宋体"/>
                <w:i w:val="0"/>
                <w:kern w:val="0"/>
                <w:szCs w:val="20"/>
              </w:rPr>
            </m:ctrlPr>
          </m:sSubPr>
          <m:e>
            <m:r>
              <m:rPr>
                <m:sty m:val="p"/>
              </m:rPr>
              <w:rPr>
                <w:rFonts w:hint="eastAsia" w:ascii="Cambria Math" w:hAnsi="Cambria Math" w:cs="宋体"/>
                <w:kern w:val="0"/>
                <w:szCs w:val="20"/>
                <w:highlight w:val="none"/>
                <w:lang w:val="en-US" w:eastAsia="zh-CN"/>
              </w:rPr>
              <m:t>N</m:t>
            </m:r>
            <m:ctrlPr>
              <w:rPr>
                <w:rFonts w:hint="eastAsia" w:ascii="Cambria Math" w:hAnsi="Cambria Math" w:cs="宋体"/>
                <w:i w:val="0"/>
                <w:kern w:val="0"/>
                <w:szCs w:val="20"/>
              </w:rPr>
            </m:ctrlPr>
          </m:e>
          <m:sub>
            <m:r>
              <m:rPr>
                <m:sty m:val="p"/>
              </m:rPr>
              <w:rPr>
                <w:rFonts w:hint="eastAsia" w:ascii="Cambria Math" w:hAnsi="Cambria Math" w:cs="宋体"/>
                <w:kern w:val="0"/>
                <w:szCs w:val="20"/>
                <w:highlight w:val="none"/>
                <w:lang w:val="en-US" w:eastAsia="zh-CN"/>
              </w:rPr>
              <m:t>4</m:t>
            </m:r>
            <m:ctrlPr>
              <w:rPr>
                <w:rFonts w:hint="eastAsia" w:ascii="Cambria Math" w:hAnsi="Cambria Math" w:cs="宋体"/>
                <w:i w:val="0"/>
                <w:kern w:val="0"/>
                <w:szCs w:val="20"/>
              </w:rPr>
            </m:ctrlPr>
          </m:sub>
        </m:sSub>
      </m:oMath>
      <w:r>
        <w:rPr>
          <w:rFonts w:hint="eastAsia" w:hAnsi="宋体" w:cs="宋体"/>
        </w:rPr>
        <w:t>——</w:t>
      </w:r>
      <w:r>
        <w:t>5</w:t>
      </w:r>
      <w:r>
        <w:rPr>
          <w:rFonts w:hint="default"/>
          <w:lang w:val="en-US"/>
        </w:rPr>
        <w:t xml:space="preserve"> </w:t>
      </w:r>
      <w:r>
        <w:rPr>
          <w:rFonts w:hint="eastAsia"/>
        </w:rPr>
        <w:t>min以上延误次数，单位为次。</w:t>
      </w:r>
    </w:p>
    <w:p>
      <w:pPr>
        <w:pStyle w:val="80"/>
        <w:spacing w:before="120" w:after="120"/>
        <w:rPr>
          <w:rFonts w:hint="eastAsia"/>
        </w:rPr>
      </w:pPr>
      <w:bookmarkStart w:id="337" w:name="_Toc2319"/>
      <w:bookmarkStart w:id="338" w:name="_Toc82684588"/>
      <w:bookmarkStart w:id="339" w:name="_Toc82676897"/>
      <w:bookmarkStart w:id="340" w:name="_Toc82677010"/>
      <w:r>
        <w:rPr>
          <w:rFonts w:hint="eastAsia"/>
        </w:rPr>
        <w:t>列车退出正线运营故障率</w:t>
      </w:r>
      <w:bookmarkEnd w:id="337"/>
      <w:bookmarkEnd w:id="338"/>
      <w:bookmarkEnd w:id="339"/>
      <w:bookmarkEnd w:id="340"/>
    </w:p>
    <w:p>
      <w:pPr>
        <w:pStyle w:val="81"/>
        <w:spacing w:before="120" w:after="120"/>
        <w:rPr>
          <w:rFonts w:hint="eastAsia"/>
        </w:rPr>
      </w:pPr>
      <w:r>
        <w:rPr>
          <w:rFonts w:hint="eastAsia"/>
        </w:rPr>
        <w:t>定义</w:t>
      </w:r>
    </w:p>
    <w:p>
      <w:pPr>
        <w:pStyle w:val="58"/>
        <w:ind w:firstLine="420"/>
      </w:pPr>
      <w:r>
        <w:rPr>
          <w:rFonts w:hint="eastAsia"/>
        </w:rPr>
        <w:t>统计期内，列车因发生车辆故障而必须退出正线运营的故障次数与全部列车总行车里程的比值，单位为次/万列公里。</w:t>
      </w:r>
    </w:p>
    <w:p>
      <w:pPr>
        <w:pStyle w:val="81"/>
        <w:spacing w:before="120" w:after="120"/>
        <w:rPr>
          <w:rFonts w:hint="eastAsia"/>
        </w:rPr>
      </w:pPr>
      <w:r>
        <w:rPr>
          <w:rFonts w:hint="eastAsia"/>
        </w:rPr>
        <w:t>计算方法</w:t>
      </w:r>
    </w:p>
    <w:p>
      <w:pPr>
        <w:pStyle w:val="58"/>
        <w:ind w:firstLine="420"/>
      </w:pPr>
      <w:r>
        <w:rPr>
          <w:rFonts w:hint="eastAsia"/>
        </w:rPr>
        <w:t>列车退出正线运营故障率的计算方法见式A.4。</w:t>
      </w:r>
    </w:p>
    <w:p>
      <w:pPr>
        <w:pStyle w:val="115"/>
        <w:rPr>
          <w:rFonts w:hint="eastAsia" w:eastAsia="宋体"/>
          <w:lang w:eastAsia="zh-CN"/>
        </w:rPr>
      </w:pPr>
      <w:r>
        <w:tab/>
      </w:r>
      <m:oMath>
        <m:r>
          <m:rPr>
            <m:sty m:val="p"/>
          </m:rPr>
          <w:rPr>
            <w:rFonts w:ascii="Cambria Math" w:hAnsi="Cambria Math"/>
            <w:color w:val="000000"/>
          </w:rPr>
          <m:t>D=</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5</m:t>
                </m:r>
                <m:ctrlPr>
                  <w:rPr>
                    <w:rFonts w:ascii="Cambria Math" w:hAnsi="Cambria Math"/>
                    <w:i/>
                    <w:color w:val="000000"/>
                  </w:rPr>
                </m:ctrlPr>
              </m:sub>
            </m:sSub>
            <m:ctrlPr>
              <w:rPr>
                <w:rFonts w:ascii="Cambria Math" w:hAnsi="Cambria Math"/>
                <w:color w:val="000000"/>
              </w:rPr>
            </m:ctrlPr>
          </m:num>
          <m:den>
            <m:r>
              <w:rPr>
                <w:rFonts w:ascii="Cambria Math" w:hAnsi="Cambria Math"/>
                <w:color w:val="000000"/>
              </w:rPr>
              <m:t>L</m:t>
            </m:r>
            <m:ctrlPr>
              <w:rPr>
                <w:rFonts w:ascii="Cambria Math" w:hAnsi="Cambria Math"/>
                <w:color w:val="000000"/>
              </w:rPr>
            </m:ctrlPr>
          </m:den>
        </m:f>
        <m: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4</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color w:val="000000"/>
            <w:szCs w:val="21"/>
            <w:highlight w:val="none"/>
          </w:rPr>
          <m:t>D</m:t>
        </m:r>
      </m:oMath>
      <w:r>
        <w:rPr>
          <w:rFonts w:hint="eastAsia" w:hAnsi="宋体" w:cs="宋体"/>
        </w:rPr>
        <w:t>——</w:t>
      </w:r>
      <w:r>
        <w:rPr>
          <w:rFonts w:hint="eastAsia"/>
        </w:rPr>
        <w:t>列车退出正线运营故障率，单位为次/千列公里；</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5</m:t>
            </m:r>
            <m:ctrlPr>
              <w:rPr>
                <w:rFonts w:ascii="Cambria Math" w:hAnsi="Cambria Math" w:cs="Times New Roman"/>
                <w:i/>
                <w:kern w:val="0"/>
                <w:szCs w:val="20"/>
                <w:highlight w:val="none"/>
              </w:rPr>
            </m:ctrlPr>
          </m:sub>
        </m:sSub>
      </m:oMath>
      <w:r>
        <w:rPr>
          <w:rFonts w:hint="eastAsia" w:hAnsi="宋体" w:cs="宋体"/>
        </w:rPr>
        <w:t>——</w:t>
      </w:r>
      <w:r>
        <w:rPr>
          <w:rFonts w:hint="eastAsia"/>
        </w:rPr>
        <w:t>导致列车退出正线运营的车辆故障次数，即因发生车辆故障而导致列车必须退出正线运营的故障次数，单位为次。</w:t>
      </w:r>
    </w:p>
    <w:p>
      <w:pPr>
        <w:pStyle w:val="80"/>
        <w:spacing w:before="120" w:after="120"/>
      </w:pPr>
      <w:bookmarkStart w:id="341" w:name="_Toc82684589"/>
      <w:bookmarkStart w:id="342" w:name="_Toc82676898"/>
      <w:bookmarkStart w:id="343" w:name="_Toc1917"/>
      <w:bookmarkStart w:id="344" w:name="_Toc82677011"/>
      <w:r>
        <w:rPr>
          <w:rFonts w:hint="eastAsia"/>
        </w:rPr>
        <w:t>车辆系统故障率</w:t>
      </w:r>
      <w:bookmarkEnd w:id="341"/>
      <w:bookmarkEnd w:id="342"/>
      <w:bookmarkEnd w:id="343"/>
      <w:bookmarkEnd w:id="344"/>
    </w:p>
    <w:p>
      <w:pPr>
        <w:pStyle w:val="81"/>
        <w:spacing w:before="120" w:after="120"/>
      </w:pPr>
      <w:r>
        <w:rPr>
          <w:rFonts w:hint="eastAsia"/>
        </w:rPr>
        <w:t>定义</w:t>
      </w:r>
    </w:p>
    <w:p>
      <w:pPr>
        <w:pStyle w:val="58"/>
        <w:ind w:firstLine="420"/>
      </w:pPr>
      <w:r>
        <w:rPr>
          <w:rFonts w:hint="eastAsia"/>
        </w:rPr>
        <w:t>统计期内，导致列车运行晚点2 min及以上的车辆故障次数与全部列车总行车里程的比值，单位为次/万列公里。</w:t>
      </w:r>
    </w:p>
    <w:p>
      <w:pPr>
        <w:pStyle w:val="81"/>
        <w:spacing w:before="120" w:after="120"/>
      </w:pPr>
      <w:r>
        <w:rPr>
          <w:rFonts w:hint="eastAsia"/>
        </w:rPr>
        <w:t>计算方法</w:t>
      </w:r>
    </w:p>
    <w:p>
      <w:pPr>
        <w:pStyle w:val="58"/>
        <w:ind w:firstLine="420"/>
      </w:pPr>
      <w:r>
        <w:rPr>
          <w:rFonts w:hint="eastAsia"/>
        </w:rPr>
        <w:t>车辆系统故障率的计算方法见式A.5。</w:t>
      </w:r>
    </w:p>
    <w:p>
      <w:pPr>
        <w:pStyle w:val="115"/>
        <w:rPr>
          <w:rFonts w:hint="eastAsia" w:eastAsia="宋体"/>
          <w:lang w:eastAsia="zh-CN"/>
        </w:rPr>
      </w:pPr>
      <w:r>
        <w:tab/>
      </w:r>
      <m:oMath>
        <m:r>
          <m:rPr>
            <m:sty m:val="p"/>
          </m:rPr>
          <w:rPr>
            <w:rFonts w:hint="default" w:ascii="Cambria Math" w:hAnsi="宋体" w:eastAsia="宋体" w:cs="Times New Roman"/>
            <w:szCs w:val="21"/>
            <w:highlight w:val="none"/>
            <w:lang w:val="en-US" w:eastAsia="zh-CN"/>
          </w:rPr>
          <m:t>E</m:t>
        </m:r>
        <m:r>
          <m:rPr>
            <m:sty m:val="p"/>
          </m:rPr>
          <w:rPr>
            <w:rFonts w:ascii="Cambria Math" w:hAnsi="Cambria Math"/>
            <w:color w:val="000000"/>
            <w:szCs w:val="21"/>
            <w:highlight w:val="none"/>
          </w:rPr>
          <m:t>=</m:t>
        </m:r>
        <m:f>
          <m:fPr>
            <m:ctrlPr>
              <w:rPr>
                <w:rFonts w:ascii="Cambria Math" w:hAnsi="Cambria Math"/>
                <w:color w:val="000000"/>
                <w:szCs w:val="21"/>
                <w:highlight w:val="none"/>
              </w:rPr>
            </m:ctrlPr>
          </m:fPr>
          <m:num>
            <m:sSub>
              <m:sSubPr>
                <m:ctrlPr>
                  <w:rPr>
                    <w:rFonts w:ascii="Cambria Math" w:hAnsi="Cambria Math"/>
                    <w:i/>
                    <w:color w:val="000000"/>
                    <w:szCs w:val="21"/>
                    <w:highlight w:val="none"/>
                  </w:rPr>
                </m:ctrlPr>
              </m:sSubPr>
              <m:e>
                <m:r>
                  <w:rPr>
                    <w:rFonts w:ascii="Cambria Math" w:hAnsi="Cambria Math"/>
                    <w:color w:val="000000"/>
                    <w:szCs w:val="21"/>
                    <w:highlight w:val="none"/>
                  </w:rPr>
                  <m:t>N</m:t>
                </m:r>
                <m:ctrlPr>
                  <w:rPr>
                    <w:rFonts w:ascii="Cambria Math" w:hAnsi="Cambria Math"/>
                    <w:i/>
                    <w:color w:val="000000"/>
                    <w:szCs w:val="21"/>
                    <w:highlight w:val="none"/>
                  </w:rPr>
                </m:ctrlPr>
              </m:e>
              <m:sub>
                <m:r>
                  <w:rPr>
                    <w:rFonts w:ascii="Cambria Math" w:hAnsi="Cambria Math"/>
                    <w:color w:val="000000"/>
                    <w:szCs w:val="21"/>
                    <w:highlight w:val="none"/>
                  </w:rPr>
                  <m:t>6</m:t>
                </m:r>
                <m:ctrlPr>
                  <w:rPr>
                    <w:rFonts w:ascii="Cambria Math" w:hAnsi="Cambria Math"/>
                    <w:i/>
                    <w:color w:val="000000"/>
                    <w:szCs w:val="21"/>
                    <w:highlight w:val="none"/>
                  </w:rPr>
                </m:ctrlPr>
              </m:sub>
            </m:sSub>
            <m:ctrlPr>
              <w:rPr>
                <w:rFonts w:ascii="Cambria Math" w:hAnsi="Cambria Math"/>
                <w:color w:val="000000"/>
                <w:szCs w:val="21"/>
                <w:highlight w:val="none"/>
              </w:rPr>
            </m:ctrlPr>
          </m:num>
          <m:den>
            <m:r>
              <w:rPr>
                <w:rFonts w:ascii="Cambria Math" w:hAnsi="Cambria Math"/>
                <w:color w:val="000000"/>
                <w:szCs w:val="21"/>
                <w:highlight w:val="none"/>
              </w:rPr>
              <m:t>L</m:t>
            </m:r>
            <m:ctrlPr>
              <w:rPr>
                <w:rFonts w:ascii="Cambria Math" w:hAnsi="Cambria Math"/>
                <w:color w:val="000000"/>
                <w:szCs w:val="21"/>
                <w:highlight w:val="none"/>
              </w:rPr>
            </m:ctrlPr>
          </m:den>
        </m:f>
        <m:r>
          <m:rPr>
            <m:sty m:val="p"/>
          </m:rPr>
          <w:rPr>
            <w:rFonts w:ascii="Cambria Math" w:hAnsi="Cambria Math"/>
            <w:color w:val="000000"/>
            <w:szCs w:val="21"/>
            <w:highlight w:val="none"/>
          </w:rPr>
          <m:t>×</m:t>
        </m:r>
        <m:r>
          <m:rPr>
            <m:sty m:val="p"/>
          </m:rPr>
          <w:rPr>
            <w:rFonts w:hint="default" w:ascii="Cambria Math" w:hAnsi="Cambria Math"/>
            <w:color w:val="000000"/>
            <w:szCs w:val="21"/>
            <w:highlight w:val="none"/>
            <w:lang w:val="en-US"/>
          </w:rPr>
          <m:t>100%</m:t>
        </m:r>
      </m:oMath>
      <w:r>
        <w:rPr>
          <w:rFonts w:ascii="微软雅黑" w:hAnsi="微软雅黑" w:eastAsia="微软雅黑"/>
        </w:rPr>
        <w:tab/>
      </w:r>
      <w:r>
        <w:rPr>
          <w:rFonts w:hint="eastAsia"/>
          <w:lang w:eastAsia="zh-CN"/>
        </w:rPr>
        <w:t>（</w:t>
      </w:r>
      <w:r>
        <w:t>A.</w:t>
      </w:r>
      <w:r>
        <w:rPr>
          <w:rFonts w:hint="default"/>
          <w:lang w:val="en-US"/>
        </w:rPr>
        <w:t>5</w:t>
      </w:r>
      <w:r>
        <w:rPr>
          <w:rFonts w:hint="eastAsia"/>
          <w:lang w:eastAsia="zh-CN"/>
        </w:rPr>
        <w:t>）</w:t>
      </w:r>
    </w:p>
    <w:p>
      <w:pPr>
        <w:pStyle w:val="57"/>
        <w:ind w:firstLine="420"/>
      </w:pPr>
      <w:r>
        <w:rPr>
          <w:rFonts w:hint="eastAsia"/>
        </w:rPr>
        <w:t>式中：</w:t>
      </w:r>
    </w:p>
    <w:p>
      <w:pPr>
        <w:pStyle w:val="58"/>
        <w:ind w:firstLine="420"/>
      </w:pPr>
      <m:oMath>
        <m:r>
          <m:rPr>
            <m:sty m:val="p"/>
          </m:rPr>
          <w:rPr>
            <w:rFonts w:hint="default" w:ascii="Cambria Math" w:hAnsi="宋体" w:eastAsia="宋体" w:cs="Times New Roman"/>
            <w:szCs w:val="21"/>
            <w:highlight w:val="none"/>
            <w:lang w:val="en-US" w:eastAsia="zh-CN"/>
          </w:rPr>
          <m:t>E</m:t>
        </m:r>
      </m:oMath>
      <w:r>
        <w:rPr>
          <w:rFonts w:hint="eastAsia" w:hAnsi="宋体" w:cs="宋体"/>
        </w:rPr>
        <w:t>——</w:t>
      </w:r>
      <w:r>
        <w:rPr>
          <w:rFonts w:hint="eastAsia"/>
        </w:rPr>
        <w:t>车辆系统故障率；</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6</m:t>
            </m:r>
            <m:ctrlPr>
              <w:rPr>
                <w:rFonts w:ascii="Cambria Math" w:hAnsi="Cambria Math" w:cs="Times New Roman"/>
                <w:i/>
                <w:kern w:val="0"/>
                <w:szCs w:val="20"/>
                <w:highlight w:val="none"/>
              </w:rPr>
            </m:ctrlPr>
          </m:sub>
        </m:sSub>
      </m:oMath>
      <w:r>
        <w:rPr>
          <w:rFonts w:hint="eastAsia" w:hAnsi="宋体" w:cs="宋体"/>
        </w:rPr>
        <w:t>——</w:t>
      </w:r>
      <w:r>
        <w:rPr>
          <w:rFonts w:hint="eastAsia"/>
        </w:rPr>
        <w:t>导致2</w:t>
      </w:r>
      <w:r>
        <w:rPr>
          <w:rFonts w:hint="default"/>
          <w:lang w:val="en-US"/>
        </w:rPr>
        <w:t xml:space="preserve"> </w:t>
      </w:r>
      <w:r>
        <w:t>min</w:t>
      </w:r>
      <w:r>
        <w:rPr>
          <w:rFonts w:hint="eastAsia"/>
        </w:rPr>
        <w:t>及以上晚点的车辆故障次数，单位为次。</w:t>
      </w:r>
    </w:p>
    <w:p>
      <w:pPr>
        <w:pStyle w:val="80"/>
        <w:spacing w:before="120" w:after="120"/>
      </w:pPr>
      <w:bookmarkStart w:id="345" w:name="_Toc82676899"/>
      <w:bookmarkStart w:id="346" w:name="_Toc82684590"/>
      <w:bookmarkStart w:id="347" w:name="_Toc9109"/>
      <w:bookmarkStart w:id="348" w:name="_Toc82677012"/>
      <w:r>
        <w:rPr>
          <w:rFonts w:hint="eastAsia"/>
        </w:rPr>
        <w:t>信号系统故障率</w:t>
      </w:r>
      <w:bookmarkEnd w:id="345"/>
      <w:bookmarkEnd w:id="346"/>
      <w:bookmarkEnd w:id="347"/>
      <w:bookmarkEnd w:id="348"/>
    </w:p>
    <w:p>
      <w:pPr>
        <w:pStyle w:val="81"/>
        <w:spacing w:before="120" w:after="120"/>
      </w:pPr>
      <w:r>
        <w:rPr>
          <w:rFonts w:hint="eastAsia"/>
        </w:rPr>
        <w:t>定义</w:t>
      </w:r>
    </w:p>
    <w:p>
      <w:pPr>
        <w:pStyle w:val="58"/>
        <w:ind w:firstLine="420"/>
      </w:pPr>
      <w:r>
        <w:rPr>
          <w:rFonts w:hint="eastAsia"/>
        </w:rPr>
        <w:t>统计期内，信号系统故障次数与全部列车总行车里程的比值，单位为次/万列公里。</w:t>
      </w:r>
    </w:p>
    <w:p>
      <w:pPr>
        <w:pStyle w:val="81"/>
        <w:spacing w:before="120" w:after="120"/>
      </w:pPr>
      <w:r>
        <w:rPr>
          <w:rFonts w:hint="eastAsia"/>
        </w:rPr>
        <w:t>计算方法</w:t>
      </w:r>
    </w:p>
    <w:p>
      <w:pPr>
        <w:pStyle w:val="58"/>
        <w:ind w:firstLine="420"/>
      </w:pPr>
      <w:r>
        <w:rPr>
          <w:rFonts w:hint="eastAsia"/>
        </w:rPr>
        <w:t>信号系统故障率的计算方法见式A.6。</w:t>
      </w:r>
    </w:p>
    <w:p>
      <w:pPr>
        <w:pStyle w:val="115"/>
        <w:rPr>
          <w:rFonts w:hint="eastAsia" w:eastAsia="宋体"/>
          <w:lang w:eastAsia="zh-CN"/>
        </w:rPr>
      </w:pPr>
      <w:r>
        <w:tab/>
      </w:r>
      <m:oMath>
        <m:r>
          <m:rPr>
            <m:sty m:val="p"/>
          </m:rPr>
          <w:rPr>
            <w:rFonts w:ascii="Cambria Math" w:hAnsi="Cambria Math"/>
          </w:rPr>
          <m:t>F</m:t>
        </m:r>
        <m:r>
          <m:rPr>
            <m:sty m:val="p"/>
          </m:rPr>
          <w:rPr>
            <w:rFonts w:ascii="Cambria Math" w:hAnsi="Cambria Math"/>
            <w:color w:val="000000"/>
          </w:rPr>
          <m:t>=</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7</m:t>
                </m:r>
                <m:ctrlPr>
                  <w:rPr>
                    <w:rFonts w:ascii="Cambria Math" w:hAnsi="Cambria Math"/>
                    <w:i/>
                    <w:color w:val="000000"/>
                  </w:rPr>
                </m:ctrlPr>
              </m:sub>
            </m:sSub>
            <m:ctrlPr>
              <w:rPr>
                <w:rFonts w:ascii="Cambria Math" w:hAnsi="Cambria Math"/>
                <w:color w:val="000000"/>
              </w:rPr>
            </m:ctrlPr>
          </m:num>
          <m:den>
            <m:r>
              <w:rPr>
                <w:rFonts w:ascii="Cambria Math" w:hAnsi="Cambria Math"/>
                <w:color w:val="000000"/>
              </w:rPr>
              <m:t>L</m:t>
            </m:r>
            <m:ctrlPr>
              <w:rPr>
                <w:rFonts w:ascii="Cambria Math" w:hAnsi="Cambria Math"/>
                <w:color w:val="000000"/>
              </w:rPr>
            </m:ctrlPr>
          </m:den>
        </m:f>
        <m: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6</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szCs w:val="21"/>
            <w:highlight w:val="none"/>
          </w:rPr>
          <m:t>F</m:t>
        </m:r>
      </m:oMath>
      <w:r>
        <w:rPr>
          <w:rFonts w:hint="eastAsia" w:hAnsi="宋体" w:cs="宋体"/>
        </w:rPr>
        <w:t>——</w:t>
      </w:r>
      <w:r>
        <w:rPr>
          <w:rFonts w:hint="eastAsia"/>
        </w:rPr>
        <w:t>信号系统故障率；</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7</m:t>
            </m:r>
            <m:ctrlPr>
              <w:rPr>
                <w:rFonts w:ascii="Cambria Math" w:hAnsi="Cambria Math" w:cs="Times New Roman"/>
                <w:i/>
                <w:kern w:val="0"/>
                <w:szCs w:val="20"/>
                <w:highlight w:val="none"/>
              </w:rPr>
            </m:ctrlPr>
          </m:sub>
        </m:sSub>
      </m:oMath>
      <w:r>
        <w:rPr>
          <w:rFonts w:hint="eastAsia" w:hAnsi="宋体" w:cs="宋体"/>
        </w:rPr>
        <w:t>——</w:t>
      </w:r>
      <w:r>
        <w:rPr>
          <w:rFonts w:hint="eastAsia"/>
        </w:rPr>
        <w:t>信号系统故障次数，单位为次。</w:t>
      </w:r>
    </w:p>
    <w:p>
      <w:pPr>
        <w:pStyle w:val="181"/>
      </w:pPr>
      <w:r>
        <w:rPr>
          <w:rFonts w:hint="eastAsia"/>
        </w:rPr>
        <w:t>信号系统故障</w:t>
      </w:r>
      <w:r>
        <w:rPr>
          <w:rFonts w:hint="eastAsia"/>
          <w:lang w:val="en-US" w:eastAsia="zh-CN"/>
        </w:rPr>
        <w:t>包括</w:t>
      </w:r>
      <w:r>
        <w:rPr>
          <w:rFonts w:hint="eastAsia"/>
        </w:rPr>
        <w:t>列车无法以自动防护模式运行、部分区段无速度码</w:t>
      </w:r>
      <w:r>
        <w:rPr>
          <w:rFonts w:hint="eastAsia"/>
          <w:lang w:val="en-US" w:eastAsia="zh-CN"/>
        </w:rPr>
        <w:t>和</w:t>
      </w:r>
      <w:r>
        <w:rPr>
          <w:rFonts w:hint="eastAsia"/>
        </w:rPr>
        <w:t>发生道岔失去表示。</w:t>
      </w:r>
    </w:p>
    <w:p>
      <w:pPr>
        <w:pStyle w:val="80"/>
        <w:spacing w:before="120" w:after="120"/>
      </w:pPr>
      <w:bookmarkStart w:id="349" w:name="_Toc82676900"/>
      <w:bookmarkStart w:id="350" w:name="_Toc26456"/>
      <w:bookmarkStart w:id="351" w:name="_Toc82684591"/>
      <w:bookmarkStart w:id="352" w:name="_Toc82677013"/>
      <w:r>
        <w:rPr>
          <w:rFonts w:hint="eastAsia"/>
        </w:rPr>
        <w:t>供电系统故障率</w:t>
      </w:r>
      <w:bookmarkEnd w:id="349"/>
      <w:bookmarkEnd w:id="350"/>
      <w:bookmarkEnd w:id="351"/>
      <w:bookmarkEnd w:id="352"/>
    </w:p>
    <w:p>
      <w:pPr>
        <w:pStyle w:val="81"/>
        <w:spacing w:before="120" w:after="120"/>
      </w:pPr>
      <w:r>
        <w:rPr>
          <w:rFonts w:hint="eastAsia"/>
        </w:rPr>
        <w:t>定义</w:t>
      </w:r>
    </w:p>
    <w:p>
      <w:pPr>
        <w:pStyle w:val="58"/>
        <w:ind w:firstLine="420"/>
      </w:pPr>
      <w:r>
        <w:rPr>
          <w:rFonts w:hint="eastAsia"/>
        </w:rPr>
        <w:t>统计期内，供电系统故障次数与全部列车总行车里程的比值，单位为次/万列公里。</w:t>
      </w:r>
    </w:p>
    <w:p>
      <w:pPr>
        <w:pStyle w:val="81"/>
        <w:spacing w:before="120" w:after="120"/>
      </w:pPr>
      <w:r>
        <w:rPr>
          <w:rFonts w:hint="eastAsia"/>
        </w:rPr>
        <w:t>计算方法</w:t>
      </w:r>
    </w:p>
    <w:p>
      <w:pPr>
        <w:pStyle w:val="58"/>
        <w:ind w:firstLine="420"/>
      </w:pPr>
      <w:r>
        <w:rPr>
          <w:rFonts w:hint="eastAsia"/>
        </w:rPr>
        <w:t>供电系统故障率的计算方法见式A.7。</w:t>
      </w:r>
    </w:p>
    <w:p>
      <w:pPr>
        <w:pStyle w:val="115"/>
        <w:rPr>
          <w:rFonts w:hint="eastAsia" w:eastAsia="宋体"/>
          <w:lang w:eastAsia="zh-CN"/>
        </w:rPr>
      </w:pPr>
      <w:r>
        <w:tab/>
      </w:r>
      <m:oMath>
        <m:r>
          <m:rPr>
            <m:sty m:val="p"/>
          </m:rPr>
          <w:rPr>
            <w:rFonts w:ascii="Cambria Math" w:hAnsi="Cambria Math"/>
          </w:rPr>
          <m:t>G</m:t>
        </m:r>
        <m:r>
          <m:rPr>
            <m:sty m:val="p"/>
          </m:rPr>
          <w:rPr>
            <w:rFonts w:ascii="Cambria Math" w:hAnsi="Cambria Math"/>
            <w:color w:val="000000"/>
          </w:rPr>
          <m:t>=</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8</m:t>
                </m:r>
                <m:ctrlPr>
                  <w:rPr>
                    <w:rFonts w:ascii="Cambria Math" w:hAnsi="Cambria Math"/>
                    <w:i/>
                    <w:color w:val="000000"/>
                  </w:rPr>
                </m:ctrlPr>
              </m:sub>
            </m:sSub>
            <m:ctrlPr>
              <w:rPr>
                <w:rFonts w:ascii="Cambria Math" w:hAnsi="Cambria Math"/>
                <w:color w:val="000000"/>
              </w:rPr>
            </m:ctrlPr>
          </m:num>
          <m:den>
            <m:r>
              <w:rPr>
                <w:rFonts w:ascii="Cambria Math" w:hAnsi="Cambria Math"/>
                <w:color w:val="000000"/>
              </w:rPr>
              <m:t>L</m:t>
            </m:r>
            <m:ctrlPr>
              <w:rPr>
                <w:rFonts w:ascii="Cambria Math" w:hAnsi="Cambria Math"/>
                <w:color w:val="000000"/>
              </w:rPr>
            </m:ctrlPr>
          </m:den>
        </m:f>
        <m: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7</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szCs w:val="21"/>
            <w:highlight w:val="none"/>
          </w:rPr>
          <m:t>G</m:t>
        </m:r>
      </m:oMath>
      <w:r>
        <w:rPr>
          <w:rFonts w:hint="eastAsia" w:hAnsi="宋体" w:cs="宋体"/>
        </w:rPr>
        <w:t>——</w:t>
      </w:r>
      <w:r>
        <w:rPr>
          <w:rFonts w:hint="eastAsia"/>
        </w:rPr>
        <w:t>供电系统故障率；</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8</m:t>
            </m:r>
            <m:ctrlPr>
              <w:rPr>
                <w:rFonts w:ascii="Cambria Math" w:hAnsi="Cambria Math" w:cs="Times New Roman"/>
                <w:i/>
                <w:kern w:val="0"/>
                <w:szCs w:val="20"/>
                <w:highlight w:val="none"/>
              </w:rPr>
            </m:ctrlPr>
          </m:sub>
        </m:sSub>
      </m:oMath>
      <w:r>
        <w:rPr>
          <w:rFonts w:hint="eastAsia" w:hAnsi="宋体" w:cs="宋体"/>
        </w:rPr>
        <w:t>——</w:t>
      </w:r>
      <w:r>
        <w:rPr>
          <w:rFonts w:hint="eastAsia"/>
        </w:rPr>
        <w:t>供电系统故障次数，单位为次。</w:t>
      </w:r>
    </w:p>
    <w:p>
      <w:pPr>
        <w:pStyle w:val="181"/>
      </w:pPr>
      <w:r>
        <w:rPr>
          <w:rFonts w:hint="eastAsia"/>
        </w:rPr>
        <w:t>供电系统故障</w:t>
      </w:r>
      <w:r>
        <w:rPr>
          <w:rFonts w:hint="eastAsia" w:ascii="宋体" w:hAnsi="Times New Roman" w:eastAsia="宋体" w:cs="Times New Roman"/>
          <w:kern w:val="0"/>
          <w:sz w:val="18"/>
          <w:szCs w:val="18"/>
          <w:highlight w:val="none"/>
        </w:rPr>
        <w:t>包括一半以上的列车充电装置失效、一座车站的</w:t>
      </w:r>
      <w:r>
        <w:rPr>
          <w:rFonts w:ascii="宋体" w:hAnsi="Times New Roman" w:eastAsia="宋体" w:cs="Times New Roman"/>
          <w:kern w:val="0"/>
          <w:sz w:val="18"/>
          <w:szCs w:val="18"/>
          <w:highlight w:val="none"/>
        </w:rPr>
        <w:t>降压变</w:t>
      </w:r>
      <w:r>
        <w:rPr>
          <w:rFonts w:hint="eastAsia" w:ascii="宋体" w:hAnsi="Times New Roman" w:eastAsia="宋体" w:cs="Times New Roman"/>
          <w:kern w:val="0"/>
          <w:sz w:val="18"/>
          <w:szCs w:val="18"/>
          <w:highlight w:val="none"/>
        </w:rPr>
        <w:t>电</w:t>
      </w:r>
      <w:r>
        <w:rPr>
          <w:rFonts w:ascii="宋体" w:hAnsi="Times New Roman" w:eastAsia="宋体" w:cs="Times New Roman"/>
          <w:kern w:val="0"/>
          <w:sz w:val="18"/>
          <w:szCs w:val="18"/>
          <w:highlight w:val="none"/>
        </w:rPr>
        <w:t>所解列和</w:t>
      </w:r>
      <w:r>
        <w:rPr>
          <w:rFonts w:hint="eastAsia" w:ascii="宋体" w:hAnsi="Times New Roman" w:eastAsia="宋体" w:cs="Times New Roman"/>
          <w:kern w:val="0"/>
          <w:sz w:val="18"/>
          <w:szCs w:val="18"/>
          <w:highlight w:val="none"/>
        </w:rPr>
        <w:t>综合车场</w:t>
      </w:r>
      <w:r>
        <w:rPr>
          <w:rFonts w:ascii="宋体" w:hAnsi="Times New Roman" w:eastAsia="宋体" w:cs="Times New Roman"/>
          <w:kern w:val="0"/>
          <w:sz w:val="18"/>
          <w:szCs w:val="18"/>
          <w:highlight w:val="none"/>
        </w:rPr>
        <w:t>降压变</w:t>
      </w:r>
      <w:r>
        <w:rPr>
          <w:rFonts w:hint="eastAsia" w:ascii="宋体" w:hAnsi="Times New Roman" w:eastAsia="宋体" w:cs="Times New Roman"/>
          <w:kern w:val="0"/>
          <w:sz w:val="18"/>
          <w:szCs w:val="18"/>
          <w:highlight w:val="none"/>
        </w:rPr>
        <w:t>电</w:t>
      </w:r>
      <w:r>
        <w:rPr>
          <w:rFonts w:ascii="宋体" w:hAnsi="Times New Roman" w:eastAsia="宋体" w:cs="Times New Roman"/>
          <w:kern w:val="0"/>
          <w:sz w:val="18"/>
          <w:szCs w:val="18"/>
          <w:highlight w:val="none"/>
        </w:rPr>
        <w:t>所解列</w:t>
      </w:r>
      <w:r>
        <w:rPr>
          <w:rFonts w:hint="eastAsia"/>
        </w:rPr>
        <w:t>。</w:t>
      </w:r>
    </w:p>
    <w:p>
      <w:pPr>
        <w:pStyle w:val="80"/>
        <w:spacing w:before="120" w:after="120"/>
      </w:pPr>
      <w:bookmarkStart w:id="353" w:name="_Toc82677014"/>
      <w:bookmarkStart w:id="354" w:name="_Toc82676901"/>
      <w:bookmarkStart w:id="355" w:name="_Toc82684592"/>
      <w:bookmarkStart w:id="356" w:name="_Toc31071"/>
      <w:r>
        <w:rPr>
          <w:rFonts w:hint="eastAsia"/>
        </w:rPr>
        <w:t>站台门故障率</w:t>
      </w:r>
      <w:bookmarkEnd w:id="353"/>
      <w:bookmarkEnd w:id="354"/>
      <w:bookmarkEnd w:id="355"/>
      <w:bookmarkEnd w:id="356"/>
    </w:p>
    <w:p>
      <w:pPr>
        <w:pStyle w:val="81"/>
        <w:spacing w:before="120" w:after="120"/>
      </w:pPr>
      <w:r>
        <w:rPr>
          <w:rFonts w:hint="eastAsia"/>
        </w:rPr>
        <w:t>定义</w:t>
      </w:r>
    </w:p>
    <w:p>
      <w:pPr>
        <w:pStyle w:val="58"/>
        <w:ind w:firstLine="420"/>
      </w:pPr>
      <w:r>
        <w:rPr>
          <w:rFonts w:hint="eastAsia"/>
        </w:rPr>
        <w:t>统计期内，站台门故障次数与站台门动作次数的比值。</w:t>
      </w:r>
    </w:p>
    <w:p>
      <w:pPr>
        <w:pStyle w:val="81"/>
        <w:spacing w:before="120" w:after="120"/>
      </w:pPr>
      <w:r>
        <w:rPr>
          <w:rFonts w:hint="eastAsia"/>
        </w:rPr>
        <w:t>计算方法</w:t>
      </w:r>
    </w:p>
    <w:p>
      <w:pPr>
        <w:pStyle w:val="58"/>
        <w:ind w:firstLine="420"/>
      </w:pPr>
      <w:r>
        <w:rPr>
          <w:rFonts w:hint="eastAsia"/>
        </w:rPr>
        <w:t>站台门故障率的计算方法见式A.8。</w:t>
      </w:r>
    </w:p>
    <w:p>
      <w:pPr>
        <w:pStyle w:val="115"/>
        <w:rPr>
          <w:rFonts w:hint="eastAsia" w:eastAsia="宋体"/>
          <w:lang w:eastAsia="zh-CN"/>
        </w:rPr>
      </w:pPr>
      <w:r>
        <w:tab/>
      </w:r>
      <m:oMath>
        <m:r>
          <m:rPr>
            <m:sty m:val="p"/>
          </m:rPr>
          <w:rPr>
            <w:rFonts w:ascii="Cambria Math" w:hAnsi="Cambria Math"/>
            <w:color w:val="000000"/>
          </w:rPr>
          <m:t>H=</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9</m:t>
                </m:r>
                <m:ctrlPr>
                  <w:rPr>
                    <w:rFonts w:ascii="Cambria Math" w:hAnsi="Cambria Math"/>
                    <w:i/>
                    <w:color w:val="000000"/>
                  </w:rPr>
                </m:ctrlPr>
              </m:sub>
            </m:sSub>
            <m:ctrlPr>
              <w:rPr>
                <w:rFonts w:ascii="Cambria Math" w:hAnsi="Cambria Math"/>
                <w:color w:val="000000"/>
              </w:rPr>
            </m:ctrlPr>
          </m:num>
          <m:den>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10</m:t>
                </m:r>
                <m:ctrlPr>
                  <w:rPr>
                    <w:rFonts w:ascii="Cambria Math" w:hAnsi="Cambria Math"/>
                    <w:i/>
                    <w:color w:val="000000"/>
                  </w:rPr>
                </m:ctrlPr>
              </m:sub>
            </m:sSub>
            <m:ctrlPr>
              <w:rPr>
                <w:rFonts w:ascii="Cambria Math" w:hAnsi="Cambria Math"/>
                <w:color w:val="000000"/>
              </w:rPr>
            </m:ctrlPr>
          </m:den>
        </m:f>
        <m:r>
          <m:rPr>
            <m:sty m:val="p"/>
          </m:rPr>
          <w:rPr>
            <w:rFonts w:hint="eastAsia" w:ascii="Cambria Math" w:hAnsi="Cambria Math"/>
            <w:color w:val="000000"/>
          </w:rPr>
          <m:t>×</m:t>
        </m:r>
        <m:r>
          <m:rPr>
            <m:sty m:val="p"/>
          </m:rP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8</w:t>
      </w:r>
      <w:r>
        <w:rPr>
          <w:rFonts w:hint="eastAsia"/>
          <w:lang w:eastAsia="zh-CN"/>
        </w:rPr>
        <w:t>）</w:t>
      </w:r>
    </w:p>
    <w:p>
      <w:pPr>
        <w:pStyle w:val="57"/>
        <w:ind w:firstLine="420"/>
      </w:pPr>
      <w:r>
        <w:rPr>
          <w:rFonts w:hint="eastAsia"/>
        </w:rPr>
        <w:t>式中：</w:t>
      </w:r>
    </w:p>
    <w:p>
      <w:pPr>
        <w:pStyle w:val="58"/>
        <w:ind w:firstLine="420"/>
      </w:pPr>
      <m:oMath>
        <m:r>
          <m:rPr>
            <m:sty m:val="p"/>
          </m:rPr>
          <w:rPr>
            <w:rFonts w:ascii="Cambria Math" w:hAnsi="Cambria Math"/>
            <w:color w:val="000000"/>
            <w:szCs w:val="21"/>
            <w:highlight w:val="none"/>
          </w:rPr>
          <m:t>H</m:t>
        </m:r>
      </m:oMath>
      <w:r>
        <w:rPr>
          <w:rFonts w:hint="eastAsia" w:hAnsi="宋体" w:cs="宋体"/>
        </w:rPr>
        <w:t>——</w:t>
      </w:r>
      <w:r>
        <w:rPr>
          <w:rFonts w:hint="eastAsia"/>
        </w:rPr>
        <w:t>站台门故障率；</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9</m:t>
            </m:r>
            <m:ctrlPr>
              <w:rPr>
                <w:rFonts w:ascii="Cambria Math" w:hAnsi="Cambria Math" w:cs="Times New Roman"/>
                <w:i/>
                <w:kern w:val="0"/>
                <w:szCs w:val="20"/>
                <w:highlight w:val="none"/>
              </w:rPr>
            </m:ctrlPr>
          </m:sub>
        </m:sSub>
      </m:oMath>
      <w:r>
        <w:rPr>
          <w:rFonts w:hint="eastAsia" w:hAnsi="宋体" w:cs="宋体"/>
        </w:rPr>
        <w:t>——</w:t>
      </w:r>
      <w:r>
        <w:rPr>
          <w:rFonts w:hint="eastAsia"/>
        </w:rPr>
        <w:t>站台门故障次数，即单个站台门无法打开或关闭记为站台门故障</w:t>
      </w:r>
      <w:r>
        <w:t>1</w:t>
      </w:r>
      <w:r>
        <w:rPr>
          <w:rFonts w:hint="eastAsia"/>
        </w:rPr>
        <w:t>次；多个站台门同时无法打开或关闭，故障次数按发生故障的站台门数量累计，单位为次；</w:t>
      </w:r>
    </w:p>
    <w:p>
      <w:pPr>
        <w:pStyle w:val="58"/>
        <w:ind w:firstLine="420"/>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N</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10</m:t>
            </m:r>
            <m:ctrlPr>
              <w:rPr>
                <w:rFonts w:ascii="Cambria Math" w:hAnsi="Cambria Math" w:cs="Times New Roman"/>
                <w:i/>
                <w:kern w:val="0"/>
                <w:szCs w:val="20"/>
                <w:highlight w:val="none"/>
              </w:rPr>
            </m:ctrlPr>
          </m:sub>
        </m:sSub>
      </m:oMath>
      <w:r>
        <w:rPr>
          <w:rFonts w:hint="eastAsia" w:hAnsi="宋体" w:cs="宋体"/>
        </w:rPr>
        <w:t>——</w:t>
      </w:r>
      <w:r>
        <w:rPr>
          <w:rFonts w:hint="eastAsia"/>
        </w:rPr>
        <w:t>站台门动作次数，即单个站台门开启并关闭</w:t>
      </w:r>
      <w:r>
        <w:t>1</w:t>
      </w:r>
      <w:r>
        <w:rPr>
          <w:rFonts w:hint="eastAsia"/>
        </w:rPr>
        <w:t>次记为站台门动作</w:t>
      </w:r>
      <w:r>
        <w:t>1</w:t>
      </w:r>
      <w:r>
        <w:rPr>
          <w:rFonts w:hint="eastAsia"/>
        </w:rPr>
        <w:t>次，单位为次。</w:t>
      </w:r>
    </w:p>
    <w:p>
      <w:pPr>
        <w:pStyle w:val="80"/>
        <w:spacing w:before="120" w:after="120"/>
        <w:rPr>
          <w:rFonts w:hint="eastAsia" w:hAnsi="Times New Roman" w:cs="Times New Roman"/>
        </w:rPr>
      </w:pPr>
      <w:bookmarkStart w:id="357" w:name="_Toc18936"/>
      <w:bookmarkStart w:id="358" w:name="_Toc2449"/>
      <w:bookmarkStart w:id="359" w:name="_Toc27812"/>
      <w:bookmarkStart w:id="360" w:name="_Toc31496"/>
      <w:bookmarkStart w:id="361" w:name="_Toc8561"/>
      <w:bookmarkStart w:id="362" w:name="_Toc28299"/>
      <w:bookmarkStart w:id="363" w:name="_Toc29321"/>
      <w:bookmarkStart w:id="364" w:name="_Toc6317"/>
      <w:bookmarkStart w:id="365" w:name="_Toc7751"/>
      <w:bookmarkStart w:id="366" w:name="_Toc86419578"/>
      <w:bookmarkStart w:id="367" w:name="_Toc8320"/>
      <w:bookmarkStart w:id="368" w:name="_Toc22689"/>
      <w:r>
        <w:rPr>
          <w:rFonts w:hint="eastAsia" w:hAnsi="Times New Roman" w:cs="Times New Roman"/>
        </w:rPr>
        <w:t>自动扶梯可靠度</w:t>
      </w:r>
      <w:bookmarkEnd w:id="357"/>
      <w:bookmarkEnd w:id="358"/>
      <w:bookmarkEnd w:id="359"/>
      <w:bookmarkEnd w:id="360"/>
      <w:bookmarkEnd w:id="361"/>
      <w:bookmarkEnd w:id="362"/>
      <w:bookmarkEnd w:id="363"/>
      <w:bookmarkEnd w:id="364"/>
      <w:bookmarkEnd w:id="365"/>
      <w:bookmarkEnd w:id="366"/>
      <w:bookmarkEnd w:id="367"/>
      <w:bookmarkEnd w:id="368"/>
    </w:p>
    <w:p>
      <w:pPr>
        <w:pStyle w:val="81"/>
        <w:spacing w:before="120" w:after="120"/>
        <w:rPr>
          <w:rFonts w:hint="eastAsia" w:hAnsi="Times New Roman" w:cs="Times New Roman"/>
        </w:rPr>
      </w:pPr>
      <w:bookmarkStart w:id="369" w:name="_Toc25506"/>
      <w:bookmarkStart w:id="370" w:name="_Toc23510"/>
      <w:bookmarkStart w:id="371" w:name="_Toc24275"/>
      <w:bookmarkStart w:id="372" w:name="_Toc13455"/>
      <w:bookmarkStart w:id="373" w:name="_Toc3305"/>
      <w:bookmarkStart w:id="374" w:name="_Toc19833"/>
      <w:bookmarkStart w:id="375" w:name="_Toc7064"/>
      <w:bookmarkStart w:id="376" w:name="_Toc4041"/>
      <w:bookmarkStart w:id="377" w:name="_Toc3152"/>
      <w:bookmarkStart w:id="378" w:name="_Toc86419579"/>
      <w:bookmarkStart w:id="379" w:name="_Toc24086"/>
      <w:r>
        <w:rPr>
          <w:rFonts w:hint="eastAsia" w:hAnsi="Times New Roman" w:cs="Times New Roman"/>
        </w:rPr>
        <w:t>定义</w:t>
      </w:r>
      <w:bookmarkEnd w:id="369"/>
      <w:bookmarkEnd w:id="370"/>
      <w:bookmarkEnd w:id="371"/>
      <w:bookmarkEnd w:id="372"/>
      <w:bookmarkEnd w:id="373"/>
      <w:bookmarkEnd w:id="374"/>
      <w:bookmarkEnd w:id="375"/>
      <w:bookmarkEnd w:id="376"/>
      <w:bookmarkEnd w:id="377"/>
      <w:bookmarkEnd w:id="378"/>
      <w:bookmarkEnd w:id="379"/>
    </w:p>
    <w:p>
      <w:pPr>
        <w:pStyle w:val="58"/>
        <w:ind w:firstLine="420"/>
        <w:rPr>
          <w:rFonts w:hint="eastAsia" w:hAnsi="Times New Roman" w:cs="Times New Roman"/>
        </w:rPr>
      </w:pPr>
      <w:r>
        <w:rPr>
          <w:rFonts w:hint="eastAsia" w:hAnsi="Times New Roman" w:cs="Times New Roman"/>
        </w:rPr>
        <w:t>统计期内，自动扶梯无故障运行时间与计划运行时间之比。</w:t>
      </w:r>
    </w:p>
    <w:p>
      <w:pPr>
        <w:pStyle w:val="81"/>
        <w:spacing w:before="120" w:after="120"/>
        <w:rPr>
          <w:rFonts w:hint="eastAsia" w:hAnsi="Times New Roman" w:cs="Times New Roman"/>
        </w:rPr>
      </w:pPr>
      <w:bookmarkStart w:id="380" w:name="_Toc3513"/>
      <w:bookmarkStart w:id="381" w:name="_Toc29243"/>
      <w:bookmarkStart w:id="382" w:name="_Toc25864"/>
      <w:bookmarkStart w:id="383" w:name="_Toc26960"/>
      <w:bookmarkStart w:id="384" w:name="_Toc23398"/>
      <w:bookmarkStart w:id="385" w:name="_Toc6768"/>
      <w:bookmarkStart w:id="386" w:name="_Toc14246"/>
      <w:bookmarkStart w:id="387" w:name="_Toc14578"/>
      <w:bookmarkStart w:id="388" w:name="_Toc21401"/>
      <w:bookmarkStart w:id="389" w:name="_Toc13779"/>
      <w:bookmarkStart w:id="390" w:name="_Toc86419580"/>
      <w:r>
        <w:rPr>
          <w:rFonts w:hint="eastAsia" w:hAnsi="Times New Roman" w:cs="Times New Roman"/>
        </w:rPr>
        <w:t>计算方法</w:t>
      </w:r>
      <w:bookmarkEnd w:id="380"/>
      <w:bookmarkEnd w:id="381"/>
      <w:bookmarkEnd w:id="382"/>
      <w:bookmarkEnd w:id="383"/>
      <w:bookmarkEnd w:id="384"/>
      <w:bookmarkEnd w:id="385"/>
      <w:bookmarkEnd w:id="386"/>
      <w:bookmarkEnd w:id="387"/>
      <w:bookmarkEnd w:id="388"/>
      <w:bookmarkEnd w:id="389"/>
      <w:bookmarkEnd w:id="390"/>
    </w:p>
    <w:p>
      <w:pPr>
        <w:pStyle w:val="58"/>
        <w:ind w:firstLine="420"/>
        <w:rPr>
          <w:rFonts w:hint="eastAsia" w:hAnsi="Times New Roman" w:cs="Times New Roman"/>
        </w:rPr>
      </w:pPr>
      <w:r>
        <w:rPr>
          <w:rFonts w:hint="eastAsia" w:hAnsi="Times New Roman" w:cs="Times New Roman"/>
        </w:rPr>
        <w:t>自动扶梯可靠度的计算方法见式A.9。</w:t>
      </w:r>
    </w:p>
    <w:p>
      <w:pPr>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rFonts w:ascii="宋体" w:hAnsi="宋体" w:eastAsia="宋体" w:cs="宋体"/>
          <w:color w:val="000000"/>
          <w:highlight w:val="none"/>
        </w:rPr>
      </w:pPr>
      <m:oMath>
        <m:r>
          <m:rPr>
            <m:sty m:val="p"/>
          </m:rPr>
          <w:rPr>
            <w:rFonts w:ascii="Cambria Math" w:hAnsi="Cambria Math" w:eastAsia="宋体" w:cs="Times New Roman"/>
            <w:color w:val="000000"/>
            <w:highlight w:val="none"/>
          </w:rPr>
          <m:t>I=</m:t>
        </m:r>
        <m:f>
          <m:fPr>
            <m:ctrlPr>
              <w:rPr>
                <w:rFonts w:ascii="Cambria Math" w:hAnsi="Cambria Math" w:eastAsia="宋体" w:cs="Times New Roman"/>
                <w:color w:val="000000"/>
                <w:highlight w:val="none"/>
              </w:rPr>
            </m:ctrlPr>
          </m:fPr>
          <m:num>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1</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num>
          <m:den>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2</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den>
        </m:f>
        <m:r>
          <m:rPr>
            <m:sty m:val="p"/>
          </m:rPr>
          <w:rPr>
            <w:rFonts w:hint="eastAsia" w:ascii="Cambria Math" w:hAnsi="Cambria Math" w:eastAsia="宋体" w:cs="Times New Roman"/>
            <w:color w:val="000000"/>
            <w:highlight w:val="none"/>
          </w:rPr>
          <m:t>×</m:t>
        </m:r>
        <m:r>
          <m:rPr>
            <m:sty m:val="p"/>
          </m:rPr>
          <w:rPr>
            <w:rFonts w:ascii="Cambria Math" w:hAnsi="Cambria Math" w:eastAsia="宋体" w:cs="Times New Roman"/>
            <w:color w:val="000000"/>
            <w:highlight w:val="none"/>
          </w:rPr>
          <m:t>100%</m:t>
        </m:r>
      </m:oMath>
      <w:r>
        <w:rPr>
          <w:rFonts w:ascii="黑体" w:hAnsi="Times New Roman" w:eastAsia="黑体" w:cs="Times New Roman"/>
          <w:szCs w:val="24"/>
          <w:highlight w:val="none"/>
        </w:rPr>
        <w:t>…………………………………………</w:t>
      </w:r>
      <w:r>
        <w:rPr>
          <w:rFonts w:hint="eastAsia" w:ascii="Calibri" w:hAnsi="Calibri" w:eastAsia="宋体" w:cs="Times New Roman"/>
          <w:color w:val="000000"/>
          <w:szCs w:val="24"/>
          <w:highlight w:val="none"/>
        </w:rPr>
        <w:t>（</w:t>
      </w:r>
      <w:r>
        <w:rPr>
          <w:rFonts w:hint="eastAsia" w:ascii="宋体" w:hAnsi="宋体" w:eastAsia="宋体" w:cs="宋体"/>
          <w:color w:val="000000"/>
          <w:szCs w:val="24"/>
          <w:highlight w:val="none"/>
        </w:rPr>
        <w:t>A.9</w:t>
      </w:r>
      <w:r>
        <w:rPr>
          <w:rFonts w:hint="eastAsia" w:ascii="Calibri" w:hAnsi="Calibri" w:eastAsia="宋体" w:cs="Times New Roman"/>
          <w:color w:val="000000"/>
          <w:szCs w:val="24"/>
          <w:highlight w:val="none"/>
        </w:rPr>
        <w:t>）</w:t>
      </w:r>
    </w:p>
    <w:p>
      <w:pPr>
        <w:pStyle w:val="58"/>
        <w:ind w:firstLine="420"/>
        <w:rPr>
          <w:rFonts w:hint="eastAsia" w:hAnsi="Times New Roman" w:cs="Times New Roman"/>
        </w:rPr>
      </w:pPr>
      <w:r>
        <w:rPr>
          <w:rFonts w:hint="eastAsia" w:hAnsi="Times New Roman" w:cs="Times New Roman"/>
        </w:rPr>
        <w:t>式中：</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r>
          <m:rPr>
            <m:sty m:val="p"/>
          </m:rPr>
          <w:rPr>
            <w:rFonts w:ascii="Cambria Math" w:hAnsi="Cambria Math" w:eastAsia="宋体" w:cs="Times New Roman"/>
            <w:color w:val="000000"/>
            <w:highlight w:val="none"/>
          </w:rPr>
          <m:t>I</m:t>
        </m:r>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自动扶梯可靠度</w:t>
      </w:r>
      <w:r>
        <w:rPr>
          <w:rFonts w:ascii="宋体" w:hAnsi="Times New Roman" w:eastAsia="宋体" w:cs="Times New Roman"/>
          <w:kern w:val="0"/>
          <w:szCs w:val="20"/>
          <w:highlight w:val="none"/>
        </w:rPr>
        <w:t>；</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1</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自动扶梯无故障运行时间</w:t>
      </w:r>
      <w:r>
        <w:rPr>
          <w:rFonts w:ascii="宋体" w:hAnsi="Times New Roman" w:eastAsia="宋体" w:cs="Times New Roman"/>
          <w:kern w:val="0"/>
          <w:szCs w:val="20"/>
          <w:highlight w:val="none"/>
        </w:rPr>
        <w:t>，单位为</w:t>
      </w:r>
      <w:r>
        <w:rPr>
          <w:rFonts w:hint="eastAsia" w:ascii="宋体" w:hAnsi="Times New Roman" w:eastAsia="宋体" w:cs="Times New Roman"/>
          <w:kern w:val="0"/>
          <w:szCs w:val="20"/>
          <w:highlight w:val="none"/>
        </w:rPr>
        <w:t>小时</w:t>
      </w:r>
      <w:r>
        <w:rPr>
          <w:rFonts w:ascii="宋体" w:hAnsi="Times New Roman" w:eastAsia="宋体" w:cs="Times New Roman"/>
          <w:kern w:val="0"/>
          <w:szCs w:val="20"/>
          <w:highlight w:val="none"/>
        </w:rPr>
        <w:t>；</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2</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自动扶梯计划运行时间</w:t>
      </w:r>
      <w:r>
        <w:rPr>
          <w:rFonts w:ascii="宋体" w:hAnsi="Times New Roman" w:eastAsia="宋体" w:cs="Times New Roman"/>
          <w:kern w:val="0"/>
          <w:szCs w:val="20"/>
          <w:highlight w:val="none"/>
        </w:rPr>
        <w:t>，单位为</w:t>
      </w:r>
      <w:r>
        <w:rPr>
          <w:rFonts w:hint="eastAsia" w:ascii="宋体" w:hAnsi="Times New Roman" w:eastAsia="宋体" w:cs="Times New Roman"/>
          <w:kern w:val="0"/>
          <w:szCs w:val="20"/>
          <w:highlight w:val="none"/>
        </w:rPr>
        <w:t>小时。</w:t>
      </w:r>
    </w:p>
    <w:p>
      <w:pPr>
        <w:pStyle w:val="80"/>
        <w:spacing w:before="120" w:after="120"/>
        <w:rPr>
          <w:rFonts w:hint="eastAsia" w:hAnsi="Times New Roman" w:cs="Times New Roman"/>
        </w:rPr>
      </w:pPr>
      <w:bookmarkStart w:id="391" w:name="_Toc8382"/>
      <w:bookmarkStart w:id="392" w:name="_Toc3169"/>
      <w:bookmarkStart w:id="393" w:name="_Toc26013"/>
      <w:bookmarkStart w:id="394" w:name="_Toc5908"/>
      <w:bookmarkStart w:id="395" w:name="_Toc8127"/>
      <w:bookmarkStart w:id="396" w:name="_Toc30145"/>
      <w:bookmarkStart w:id="397" w:name="_Toc25153"/>
      <w:bookmarkStart w:id="398" w:name="_Toc29612"/>
      <w:bookmarkStart w:id="399" w:name="_Toc26755"/>
      <w:bookmarkStart w:id="400" w:name="_Toc86419581"/>
      <w:bookmarkStart w:id="401" w:name="_Toc7334"/>
      <w:bookmarkStart w:id="402" w:name="_Toc26818"/>
      <w:r>
        <w:rPr>
          <w:rFonts w:hint="eastAsia" w:hAnsi="Times New Roman" w:cs="Times New Roman"/>
        </w:rPr>
        <w:t>电梯可靠度</w:t>
      </w:r>
      <w:bookmarkEnd w:id="391"/>
      <w:bookmarkEnd w:id="392"/>
      <w:bookmarkEnd w:id="393"/>
      <w:bookmarkEnd w:id="394"/>
      <w:bookmarkEnd w:id="395"/>
      <w:bookmarkEnd w:id="396"/>
      <w:bookmarkEnd w:id="397"/>
      <w:bookmarkEnd w:id="398"/>
      <w:bookmarkEnd w:id="399"/>
      <w:bookmarkEnd w:id="400"/>
      <w:bookmarkEnd w:id="401"/>
      <w:bookmarkEnd w:id="402"/>
    </w:p>
    <w:p>
      <w:pPr>
        <w:pStyle w:val="81"/>
        <w:spacing w:before="120" w:after="120"/>
        <w:rPr>
          <w:rFonts w:hint="eastAsia" w:hAnsi="Times New Roman" w:cs="Times New Roman"/>
        </w:rPr>
      </w:pPr>
      <w:bookmarkStart w:id="403" w:name="_Toc12402"/>
      <w:bookmarkStart w:id="404" w:name="_Toc16125"/>
      <w:bookmarkStart w:id="405" w:name="_Toc4098"/>
      <w:bookmarkStart w:id="406" w:name="_Toc31523"/>
      <w:bookmarkStart w:id="407" w:name="_Toc8772"/>
      <w:bookmarkStart w:id="408" w:name="_Toc4678"/>
      <w:bookmarkStart w:id="409" w:name="_Toc9862"/>
      <w:bookmarkStart w:id="410" w:name="_Toc10477"/>
      <w:bookmarkStart w:id="411" w:name="_Toc6431"/>
      <w:bookmarkStart w:id="412" w:name="_Toc2428"/>
      <w:bookmarkStart w:id="413" w:name="_Toc86419582"/>
      <w:r>
        <w:rPr>
          <w:rFonts w:hint="eastAsia" w:hAnsi="Times New Roman" w:cs="Times New Roman"/>
        </w:rPr>
        <w:t>定义</w:t>
      </w:r>
      <w:bookmarkEnd w:id="403"/>
      <w:bookmarkEnd w:id="404"/>
      <w:bookmarkEnd w:id="405"/>
      <w:bookmarkEnd w:id="406"/>
      <w:bookmarkEnd w:id="407"/>
      <w:bookmarkEnd w:id="408"/>
      <w:bookmarkEnd w:id="409"/>
      <w:bookmarkEnd w:id="410"/>
      <w:bookmarkEnd w:id="411"/>
      <w:bookmarkEnd w:id="412"/>
      <w:bookmarkEnd w:id="413"/>
    </w:p>
    <w:p>
      <w:pPr>
        <w:pStyle w:val="58"/>
        <w:ind w:firstLine="420"/>
        <w:rPr>
          <w:rFonts w:hint="eastAsia" w:hAnsi="Times New Roman" w:cs="Times New Roman"/>
        </w:rPr>
      </w:pPr>
      <w:r>
        <w:rPr>
          <w:rFonts w:hint="eastAsia" w:hAnsi="Times New Roman" w:cs="Times New Roman"/>
        </w:rPr>
        <w:t>统计期内，电梯无故障运行时间与计划运行时间之比。</w:t>
      </w:r>
    </w:p>
    <w:p>
      <w:pPr>
        <w:pStyle w:val="81"/>
        <w:spacing w:before="120" w:after="120"/>
        <w:rPr>
          <w:rFonts w:hint="eastAsia" w:hAnsi="Times New Roman" w:cs="Times New Roman"/>
        </w:rPr>
      </w:pPr>
      <w:bookmarkStart w:id="414" w:name="_Toc8161"/>
      <w:bookmarkStart w:id="415" w:name="_Toc22216"/>
      <w:bookmarkStart w:id="416" w:name="_Toc25333"/>
      <w:bookmarkStart w:id="417" w:name="_Toc12965"/>
      <w:bookmarkStart w:id="418" w:name="_Toc5860"/>
      <w:bookmarkStart w:id="419" w:name="_Toc86419583"/>
      <w:bookmarkStart w:id="420" w:name="_Toc1759"/>
      <w:bookmarkStart w:id="421" w:name="_Toc5514"/>
      <w:bookmarkStart w:id="422" w:name="_Toc663"/>
      <w:bookmarkStart w:id="423" w:name="_Toc4733"/>
      <w:bookmarkStart w:id="424" w:name="_Toc13742"/>
      <w:r>
        <w:rPr>
          <w:rFonts w:hint="eastAsia" w:hAnsi="Times New Roman" w:cs="Times New Roman"/>
        </w:rPr>
        <w:t>计算方法</w:t>
      </w:r>
      <w:bookmarkEnd w:id="414"/>
      <w:bookmarkEnd w:id="415"/>
      <w:bookmarkEnd w:id="416"/>
      <w:bookmarkEnd w:id="417"/>
      <w:bookmarkEnd w:id="418"/>
      <w:bookmarkEnd w:id="419"/>
      <w:bookmarkEnd w:id="420"/>
      <w:bookmarkEnd w:id="421"/>
      <w:bookmarkEnd w:id="422"/>
      <w:bookmarkEnd w:id="423"/>
      <w:bookmarkEnd w:id="424"/>
    </w:p>
    <w:p>
      <w:pPr>
        <w:pStyle w:val="58"/>
        <w:ind w:firstLine="420"/>
        <w:rPr>
          <w:rFonts w:hint="eastAsia" w:hAnsi="Times New Roman" w:cs="Times New Roman"/>
        </w:rPr>
      </w:pPr>
      <w:r>
        <w:rPr>
          <w:rFonts w:hint="eastAsia" w:hAnsi="Times New Roman" w:cs="Times New Roman"/>
        </w:rPr>
        <w:t>电梯可靠度的计算方法见式A.10。</w:t>
      </w:r>
    </w:p>
    <w:p>
      <w:pPr>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rFonts w:ascii="Calibri" w:hAnsi="Calibri" w:eastAsia="宋体" w:cs="Times New Roman"/>
          <w:color w:val="000000"/>
          <w:sz w:val="18"/>
          <w:highlight w:val="none"/>
        </w:rPr>
      </w:pPr>
      <m:oMath>
        <m:r>
          <m:rPr>
            <m:sty m:val="p"/>
          </m:rPr>
          <w:rPr>
            <w:rFonts w:ascii="Cambria Math" w:hAnsi="Cambria Math" w:eastAsia="宋体" w:cs="Times New Roman"/>
            <w:color w:val="000000"/>
            <w:highlight w:val="none"/>
          </w:rPr>
          <m:t>J=</m:t>
        </m:r>
        <m:f>
          <m:fPr>
            <m:ctrlPr>
              <w:rPr>
                <w:rFonts w:ascii="Cambria Math" w:hAnsi="Cambria Math" w:eastAsia="宋体" w:cs="Times New Roman"/>
                <w:color w:val="000000"/>
                <w:highlight w:val="none"/>
              </w:rPr>
            </m:ctrlPr>
          </m:fPr>
          <m:num>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3</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num>
          <m:den>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4</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den>
        </m:f>
        <m:r>
          <m:rPr>
            <m:sty m:val="p"/>
          </m:rPr>
          <w:rPr>
            <w:rFonts w:hint="eastAsia" w:ascii="Cambria Math" w:hAnsi="Cambria Math" w:eastAsia="宋体" w:cs="Times New Roman"/>
            <w:color w:val="000000"/>
            <w:highlight w:val="none"/>
          </w:rPr>
          <m:t>×</m:t>
        </m:r>
        <m:r>
          <m:rPr>
            <m:sty m:val="p"/>
          </m:rPr>
          <w:rPr>
            <w:rFonts w:ascii="Cambria Math" w:hAnsi="Cambria Math" w:eastAsia="宋体" w:cs="Times New Roman"/>
            <w:color w:val="000000"/>
            <w:highlight w:val="none"/>
          </w:rPr>
          <m:t>100%</m:t>
        </m:r>
      </m:oMath>
      <w:r>
        <w:rPr>
          <w:rFonts w:ascii="黑体" w:hAnsi="Times New Roman" w:eastAsia="黑体" w:cs="Times New Roman"/>
          <w:szCs w:val="24"/>
          <w:highlight w:val="none"/>
        </w:rPr>
        <w:t>…………………………………………</w:t>
      </w:r>
      <w:r>
        <w:rPr>
          <w:rFonts w:hint="eastAsia" w:ascii="Calibri" w:hAnsi="Calibri" w:eastAsia="宋体" w:cs="Times New Roman"/>
          <w:color w:val="000000"/>
          <w:szCs w:val="24"/>
          <w:highlight w:val="none"/>
        </w:rPr>
        <w:t>（</w:t>
      </w:r>
      <w:r>
        <w:rPr>
          <w:rFonts w:hint="eastAsia" w:ascii="宋体" w:hAnsi="宋体" w:eastAsia="宋体" w:cs="宋体"/>
          <w:color w:val="000000"/>
          <w:szCs w:val="24"/>
          <w:highlight w:val="none"/>
        </w:rPr>
        <w:t>A.10</w:t>
      </w:r>
      <w:r>
        <w:rPr>
          <w:rFonts w:hint="eastAsia" w:ascii="Calibri" w:hAnsi="Calibri" w:eastAsia="宋体" w:cs="Times New Roman"/>
          <w:color w:val="000000"/>
          <w:szCs w:val="24"/>
          <w:highlight w:val="none"/>
        </w:rPr>
        <w:t>）</w:t>
      </w:r>
    </w:p>
    <w:p>
      <w:pPr>
        <w:pStyle w:val="58"/>
        <w:ind w:firstLine="420"/>
        <w:rPr>
          <w:rFonts w:hint="eastAsia" w:hAnsi="Times New Roman" w:cs="Times New Roman"/>
        </w:rPr>
      </w:pPr>
      <w:r>
        <w:rPr>
          <w:rFonts w:hint="eastAsia" w:hAnsi="Times New Roman" w:cs="Times New Roman"/>
        </w:rPr>
        <w:t>式中：</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r>
          <m:rPr>
            <m:sty m:val="p"/>
          </m:rPr>
          <w:rPr>
            <w:rFonts w:ascii="Cambria Math" w:hAnsi="Cambria Math" w:eastAsia="宋体" w:cs="Times New Roman"/>
            <w:color w:val="000000"/>
            <w:highlight w:val="none"/>
          </w:rPr>
          <m:t>J</m:t>
        </m:r>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电梯可靠度</w:t>
      </w:r>
      <w:r>
        <w:rPr>
          <w:rFonts w:ascii="宋体" w:hAnsi="Times New Roman" w:eastAsia="宋体" w:cs="Times New Roman"/>
          <w:kern w:val="0"/>
          <w:szCs w:val="20"/>
          <w:highlight w:val="none"/>
        </w:rPr>
        <w:t>；</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3</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电梯无故障运行时间，单位为小时；</w:t>
      </w:r>
    </w:p>
    <w:p>
      <w:pPr>
        <w:keepNext w:val="0"/>
        <w:keepLines w:val="0"/>
        <w:pageBreakBefore w:val="0"/>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4</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电梯计划运行时间，单位为小时</w:t>
      </w:r>
      <w:r>
        <w:rPr>
          <w:rFonts w:ascii="宋体" w:hAnsi="Times New Roman" w:eastAsia="宋体" w:cs="Times New Roman"/>
          <w:kern w:val="0"/>
          <w:szCs w:val="20"/>
          <w:highlight w:val="none"/>
        </w:rPr>
        <w:t>。</w:t>
      </w:r>
    </w:p>
    <w:p>
      <w:pPr>
        <w:pStyle w:val="80"/>
        <w:spacing w:before="120" w:after="120"/>
        <w:rPr>
          <w:rFonts w:hint="eastAsia" w:hAnsi="Times New Roman" w:cs="Times New Roman"/>
        </w:rPr>
      </w:pPr>
      <w:bookmarkStart w:id="425" w:name="_Toc437"/>
      <w:bookmarkStart w:id="426" w:name="_Toc23386"/>
      <w:bookmarkStart w:id="427" w:name="_Toc23365"/>
      <w:bookmarkStart w:id="428" w:name="_Toc10273"/>
      <w:bookmarkStart w:id="429" w:name="_Toc7741"/>
      <w:bookmarkStart w:id="430" w:name="_Toc760"/>
      <w:bookmarkStart w:id="431" w:name="_Toc5683"/>
      <w:bookmarkStart w:id="432" w:name="_Toc30770"/>
      <w:bookmarkStart w:id="433" w:name="_Toc86419584"/>
      <w:bookmarkStart w:id="434" w:name="_Toc18433"/>
      <w:bookmarkStart w:id="435" w:name="_Toc2599"/>
      <w:bookmarkStart w:id="436" w:name="_Toc1459"/>
      <w:r>
        <w:rPr>
          <w:rFonts w:hint="eastAsia" w:hAnsi="Times New Roman" w:cs="Times New Roman"/>
        </w:rPr>
        <w:t>售票机可靠度</w:t>
      </w:r>
      <w:bookmarkEnd w:id="425"/>
      <w:bookmarkEnd w:id="426"/>
      <w:bookmarkEnd w:id="427"/>
      <w:bookmarkEnd w:id="428"/>
      <w:bookmarkEnd w:id="429"/>
      <w:bookmarkEnd w:id="430"/>
      <w:bookmarkEnd w:id="431"/>
      <w:bookmarkEnd w:id="432"/>
      <w:bookmarkEnd w:id="433"/>
      <w:bookmarkEnd w:id="434"/>
      <w:bookmarkEnd w:id="435"/>
      <w:bookmarkEnd w:id="436"/>
    </w:p>
    <w:p>
      <w:pPr>
        <w:pStyle w:val="81"/>
        <w:spacing w:before="120" w:after="120"/>
        <w:rPr>
          <w:rFonts w:hint="eastAsia" w:hAnsi="Times New Roman" w:cs="Times New Roman"/>
        </w:rPr>
      </w:pPr>
      <w:bookmarkStart w:id="437" w:name="_Toc28219"/>
      <w:bookmarkStart w:id="438" w:name="_Toc86419585"/>
      <w:bookmarkStart w:id="439" w:name="_Toc5922"/>
      <w:bookmarkStart w:id="440" w:name="_Toc20773"/>
      <w:bookmarkStart w:id="441" w:name="_Toc26930"/>
      <w:bookmarkStart w:id="442" w:name="_Toc32531"/>
      <w:bookmarkStart w:id="443" w:name="_Toc18022"/>
      <w:bookmarkStart w:id="444" w:name="_Toc11725"/>
      <w:bookmarkStart w:id="445" w:name="_Toc4983"/>
      <w:bookmarkStart w:id="446" w:name="_Toc22767"/>
      <w:bookmarkStart w:id="447" w:name="_Toc29013"/>
      <w:r>
        <w:rPr>
          <w:rFonts w:hint="eastAsia" w:hAnsi="Times New Roman" w:cs="Times New Roman"/>
        </w:rPr>
        <w:t>定义</w:t>
      </w:r>
      <w:bookmarkEnd w:id="437"/>
      <w:bookmarkEnd w:id="438"/>
      <w:bookmarkEnd w:id="439"/>
      <w:bookmarkEnd w:id="440"/>
      <w:bookmarkEnd w:id="441"/>
      <w:bookmarkEnd w:id="442"/>
      <w:bookmarkEnd w:id="443"/>
      <w:bookmarkEnd w:id="444"/>
      <w:bookmarkEnd w:id="445"/>
      <w:bookmarkEnd w:id="446"/>
      <w:bookmarkEnd w:id="447"/>
    </w:p>
    <w:p>
      <w:pPr>
        <w:pStyle w:val="58"/>
        <w:ind w:firstLine="420"/>
        <w:rPr>
          <w:rFonts w:hint="eastAsia" w:hAnsi="Times New Roman" w:cs="Times New Roman"/>
        </w:rPr>
      </w:pPr>
      <w:r>
        <w:rPr>
          <w:rFonts w:hint="eastAsia" w:hAnsi="Times New Roman" w:cs="Times New Roman"/>
        </w:rPr>
        <w:t>统计期内，售票机无故障运行时间与计划运行时间之比。</w:t>
      </w:r>
    </w:p>
    <w:p>
      <w:pPr>
        <w:pStyle w:val="81"/>
        <w:spacing w:before="120" w:after="120"/>
        <w:rPr>
          <w:rFonts w:hint="eastAsia" w:hAnsi="Times New Roman" w:cs="Times New Roman"/>
        </w:rPr>
      </w:pPr>
      <w:bookmarkStart w:id="448" w:name="_Toc5124"/>
      <w:bookmarkStart w:id="449" w:name="_Toc184"/>
      <w:bookmarkStart w:id="450" w:name="_Toc21755"/>
      <w:bookmarkStart w:id="451" w:name="_Toc86419586"/>
      <w:bookmarkStart w:id="452" w:name="_Toc11447"/>
      <w:bookmarkStart w:id="453" w:name="_Toc26884"/>
      <w:bookmarkStart w:id="454" w:name="_Toc1966"/>
      <w:bookmarkStart w:id="455" w:name="_Toc3337"/>
      <w:bookmarkStart w:id="456" w:name="_Toc21104"/>
      <w:bookmarkStart w:id="457" w:name="_Toc4869"/>
      <w:bookmarkStart w:id="458" w:name="_Toc20667"/>
      <w:r>
        <w:rPr>
          <w:rFonts w:hint="eastAsia" w:hAnsi="Times New Roman" w:cs="Times New Roman"/>
        </w:rPr>
        <w:t>计算方法</w:t>
      </w:r>
      <w:bookmarkEnd w:id="448"/>
      <w:bookmarkEnd w:id="449"/>
      <w:bookmarkEnd w:id="450"/>
      <w:bookmarkEnd w:id="451"/>
      <w:bookmarkEnd w:id="452"/>
      <w:bookmarkEnd w:id="453"/>
      <w:bookmarkEnd w:id="454"/>
      <w:bookmarkEnd w:id="455"/>
      <w:bookmarkEnd w:id="456"/>
      <w:bookmarkEnd w:id="457"/>
      <w:bookmarkEnd w:id="458"/>
    </w:p>
    <w:p>
      <w:pPr>
        <w:pStyle w:val="58"/>
        <w:ind w:firstLine="420"/>
        <w:rPr>
          <w:rFonts w:hint="eastAsia" w:hAnsi="Times New Roman" w:cs="Times New Roman"/>
        </w:rPr>
      </w:pPr>
      <w:r>
        <w:rPr>
          <w:rFonts w:hint="eastAsia" w:hAnsi="Times New Roman" w:cs="Times New Roman"/>
        </w:rPr>
        <w:t>售票机可靠度的计算方法见式A.11。</w:t>
      </w:r>
    </w:p>
    <w:p>
      <w:pPr>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rFonts w:ascii="Calibri" w:hAnsi="Calibri" w:eastAsia="宋体" w:cs="Times New Roman"/>
          <w:color w:val="000000"/>
          <w:sz w:val="18"/>
          <w:highlight w:val="none"/>
        </w:rPr>
      </w:pPr>
      <m:oMath>
        <m:r>
          <m:rPr>
            <m:sty m:val="p"/>
          </m:rPr>
          <w:rPr>
            <w:rFonts w:ascii="Cambria Math" w:hAnsi="Cambria Math" w:eastAsia="宋体" w:cs="Times New Roman"/>
            <w:color w:val="000000"/>
            <w:highlight w:val="none"/>
          </w:rPr>
          <m:t>K=</m:t>
        </m:r>
        <m:f>
          <m:fPr>
            <m:ctrlPr>
              <w:rPr>
                <w:rFonts w:ascii="Cambria Math" w:hAnsi="Cambria Math" w:eastAsia="宋体" w:cs="Times New Roman"/>
                <w:color w:val="000000"/>
                <w:highlight w:val="none"/>
              </w:rPr>
            </m:ctrlPr>
          </m:fPr>
          <m:num>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5</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num>
          <m:den>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6</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den>
        </m:f>
        <m:r>
          <m:rPr>
            <m:sty m:val="p"/>
          </m:rPr>
          <w:rPr>
            <w:rFonts w:hint="eastAsia" w:ascii="Cambria Math" w:hAnsi="Cambria Math" w:eastAsia="宋体" w:cs="Times New Roman"/>
            <w:color w:val="000000"/>
            <w:highlight w:val="none"/>
          </w:rPr>
          <m:t>×</m:t>
        </m:r>
        <m:r>
          <m:rPr>
            <m:sty m:val="p"/>
          </m:rPr>
          <w:rPr>
            <w:rFonts w:ascii="Cambria Math" w:hAnsi="Cambria Math" w:eastAsia="宋体" w:cs="Times New Roman"/>
            <w:color w:val="000000"/>
            <w:highlight w:val="none"/>
          </w:rPr>
          <m:t>100%</m:t>
        </m:r>
      </m:oMath>
      <w:r>
        <w:rPr>
          <w:rFonts w:ascii="黑体" w:hAnsi="Times New Roman" w:eastAsia="黑体" w:cs="Times New Roman"/>
          <w:szCs w:val="24"/>
          <w:highlight w:val="none"/>
        </w:rPr>
        <w:t>…………………………………………</w:t>
      </w:r>
      <w:r>
        <w:rPr>
          <w:rFonts w:hint="eastAsia" w:ascii="Calibri" w:hAnsi="Calibri" w:eastAsia="宋体" w:cs="Times New Roman"/>
          <w:color w:val="000000"/>
          <w:szCs w:val="24"/>
          <w:highlight w:val="none"/>
        </w:rPr>
        <w:t>（</w:t>
      </w:r>
      <w:r>
        <w:rPr>
          <w:rFonts w:hint="eastAsia" w:ascii="宋体" w:hAnsi="宋体" w:eastAsia="宋体" w:cs="宋体"/>
          <w:color w:val="000000"/>
          <w:szCs w:val="24"/>
          <w:highlight w:val="none"/>
        </w:rPr>
        <w:t>A.11</w:t>
      </w:r>
      <w:r>
        <w:rPr>
          <w:rFonts w:hint="eastAsia" w:ascii="Calibri" w:hAnsi="Calibri" w:eastAsia="宋体" w:cs="Times New Roman"/>
          <w:color w:val="000000"/>
          <w:szCs w:val="24"/>
          <w:highlight w:val="none"/>
        </w:rPr>
        <w:t>）</w:t>
      </w:r>
    </w:p>
    <w:p>
      <w:pPr>
        <w:pStyle w:val="58"/>
        <w:ind w:firstLine="420"/>
        <w:rPr>
          <w:rFonts w:hint="eastAsia" w:hAnsi="Times New Roman" w:cs="Times New Roman"/>
        </w:rPr>
      </w:pPr>
      <w:r>
        <w:rPr>
          <w:rFonts w:hint="eastAsia" w:hAnsi="Times New Roman" w:cs="Times New Roman"/>
        </w:rPr>
        <w:t>式中：</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r>
          <m:rPr>
            <m:sty m:val="p"/>
          </m:rPr>
          <w:rPr>
            <w:rFonts w:ascii="Cambria Math" w:hAnsi="Cambria Math" w:eastAsia="宋体" w:cs="Times New Roman"/>
            <w:color w:val="000000"/>
            <w:highlight w:val="none"/>
          </w:rPr>
          <m:t>K</m:t>
        </m:r>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售票机可靠度</w:t>
      </w:r>
      <w:r>
        <w:rPr>
          <w:rFonts w:ascii="宋体" w:hAnsi="Times New Roman" w:eastAsia="宋体" w:cs="Times New Roman"/>
          <w:kern w:val="0"/>
          <w:szCs w:val="20"/>
          <w:highlight w:val="none"/>
        </w:rPr>
        <w:t>；</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5</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售票机无故障运行时间，单位为小时；</w:t>
      </w:r>
    </w:p>
    <w:p>
      <w:pPr>
        <w:keepNext w:val="0"/>
        <w:keepLines w:val="0"/>
        <w:pageBreakBefore w:val="0"/>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6</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售票机计划运行时间，单位为小时</w:t>
      </w:r>
      <w:r>
        <w:rPr>
          <w:rFonts w:ascii="宋体" w:hAnsi="Times New Roman" w:eastAsia="宋体" w:cs="Times New Roman"/>
          <w:kern w:val="0"/>
          <w:szCs w:val="20"/>
          <w:highlight w:val="none"/>
        </w:rPr>
        <w:t>。</w:t>
      </w:r>
    </w:p>
    <w:p>
      <w:pPr>
        <w:pStyle w:val="80"/>
        <w:spacing w:before="120" w:after="120"/>
        <w:rPr>
          <w:rFonts w:hint="eastAsia" w:hAnsi="Times New Roman" w:cs="Times New Roman"/>
        </w:rPr>
      </w:pPr>
      <w:bookmarkStart w:id="459" w:name="_Toc27005"/>
      <w:bookmarkStart w:id="460" w:name="_Toc8660"/>
      <w:bookmarkStart w:id="461" w:name="_Toc12130"/>
      <w:bookmarkStart w:id="462" w:name="_Toc31758"/>
      <w:bookmarkStart w:id="463" w:name="_Toc23232"/>
      <w:bookmarkStart w:id="464" w:name="_Toc12726"/>
      <w:bookmarkStart w:id="465" w:name="_Toc17394"/>
      <w:bookmarkStart w:id="466" w:name="_Toc13700"/>
      <w:bookmarkStart w:id="467" w:name="_Toc8527"/>
      <w:bookmarkStart w:id="468" w:name="_Toc125"/>
      <w:bookmarkStart w:id="469" w:name="_Toc31892"/>
      <w:bookmarkStart w:id="470" w:name="_Toc86419587"/>
      <w:r>
        <w:rPr>
          <w:rFonts w:hint="eastAsia" w:hAnsi="Times New Roman" w:cs="Times New Roman"/>
        </w:rPr>
        <w:t>检票机可靠度</w:t>
      </w:r>
      <w:bookmarkEnd w:id="459"/>
      <w:bookmarkEnd w:id="460"/>
      <w:bookmarkEnd w:id="461"/>
      <w:bookmarkEnd w:id="462"/>
      <w:bookmarkEnd w:id="463"/>
      <w:bookmarkEnd w:id="464"/>
      <w:bookmarkEnd w:id="465"/>
      <w:bookmarkEnd w:id="466"/>
      <w:bookmarkEnd w:id="467"/>
      <w:bookmarkEnd w:id="468"/>
      <w:bookmarkEnd w:id="469"/>
      <w:bookmarkEnd w:id="470"/>
    </w:p>
    <w:p>
      <w:pPr>
        <w:pStyle w:val="81"/>
        <w:spacing w:before="120" w:after="120"/>
        <w:rPr>
          <w:rFonts w:hint="eastAsia" w:hAnsi="Times New Roman" w:cs="Times New Roman"/>
        </w:rPr>
      </w:pPr>
      <w:bookmarkStart w:id="471" w:name="_Toc14815"/>
      <w:bookmarkStart w:id="472" w:name="_Toc25489"/>
      <w:bookmarkStart w:id="473" w:name="_Toc20588"/>
      <w:bookmarkStart w:id="474" w:name="_Toc12645"/>
      <w:bookmarkStart w:id="475" w:name="_Toc21715"/>
      <w:bookmarkStart w:id="476" w:name="_Toc9190"/>
      <w:bookmarkStart w:id="477" w:name="_Toc25895"/>
      <w:bookmarkStart w:id="478" w:name="_Toc5445"/>
      <w:bookmarkStart w:id="479" w:name="_Toc86419588"/>
      <w:bookmarkStart w:id="480" w:name="_Toc27345"/>
      <w:bookmarkStart w:id="481" w:name="_Toc22328"/>
      <w:r>
        <w:rPr>
          <w:rFonts w:hint="eastAsia" w:hAnsi="Times New Roman" w:cs="Times New Roman"/>
        </w:rPr>
        <w:t>定义</w:t>
      </w:r>
      <w:bookmarkEnd w:id="471"/>
      <w:bookmarkEnd w:id="472"/>
      <w:bookmarkEnd w:id="473"/>
      <w:bookmarkEnd w:id="474"/>
      <w:bookmarkEnd w:id="475"/>
      <w:bookmarkEnd w:id="476"/>
      <w:bookmarkEnd w:id="477"/>
      <w:bookmarkEnd w:id="478"/>
      <w:bookmarkEnd w:id="479"/>
      <w:bookmarkEnd w:id="480"/>
      <w:bookmarkEnd w:id="481"/>
    </w:p>
    <w:p>
      <w:pPr>
        <w:pStyle w:val="58"/>
        <w:ind w:firstLine="420"/>
        <w:rPr>
          <w:rFonts w:hint="eastAsia" w:hAnsi="Times New Roman" w:cs="Times New Roman"/>
        </w:rPr>
      </w:pPr>
      <w:r>
        <w:rPr>
          <w:rFonts w:hint="eastAsia" w:hAnsi="Times New Roman" w:cs="Times New Roman"/>
        </w:rPr>
        <w:t>统计期内，检票机无故障运行时间与计划运行时间之比。</w:t>
      </w:r>
    </w:p>
    <w:p>
      <w:pPr>
        <w:pStyle w:val="81"/>
        <w:spacing w:before="120" w:after="120"/>
        <w:rPr>
          <w:rFonts w:hint="eastAsia" w:hAnsi="Times New Roman" w:cs="Times New Roman"/>
        </w:rPr>
      </w:pPr>
      <w:bookmarkStart w:id="482" w:name="_Toc17937"/>
      <w:bookmarkStart w:id="483" w:name="_Toc9882"/>
      <w:bookmarkStart w:id="484" w:name="_Toc10324"/>
      <w:bookmarkStart w:id="485" w:name="_Toc23423"/>
      <w:bookmarkStart w:id="486" w:name="_Toc86419589"/>
      <w:bookmarkStart w:id="487" w:name="_Toc6293"/>
      <w:bookmarkStart w:id="488" w:name="_Toc12666"/>
      <w:bookmarkStart w:id="489" w:name="_Toc15996"/>
      <w:bookmarkStart w:id="490" w:name="_Toc3014"/>
      <w:bookmarkStart w:id="491" w:name="_Toc25116"/>
      <w:r>
        <w:rPr>
          <w:rFonts w:hint="eastAsia" w:hAnsi="Times New Roman" w:cs="Times New Roman"/>
        </w:rPr>
        <w:t>计算方法</w:t>
      </w:r>
      <w:bookmarkEnd w:id="482"/>
      <w:bookmarkEnd w:id="483"/>
      <w:bookmarkEnd w:id="484"/>
      <w:bookmarkEnd w:id="485"/>
      <w:bookmarkEnd w:id="486"/>
      <w:bookmarkEnd w:id="487"/>
      <w:bookmarkEnd w:id="488"/>
      <w:bookmarkEnd w:id="489"/>
      <w:bookmarkEnd w:id="490"/>
      <w:bookmarkEnd w:id="491"/>
    </w:p>
    <w:p>
      <w:pPr>
        <w:pStyle w:val="58"/>
        <w:ind w:firstLine="420"/>
        <w:rPr>
          <w:rFonts w:hint="eastAsia" w:hAnsi="Times New Roman" w:cs="Times New Roman"/>
        </w:rPr>
      </w:pPr>
      <w:r>
        <w:rPr>
          <w:rFonts w:hint="eastAsia" w:hAnsi="Times New Roman" w:cs="Times New Roman"/>
        </w:rPr>
        <w:t>检票机可靠度的计算方法见式A.12。</w:t>
      </w:r>
    </w:p>
    <w:p>
      <w:pPr>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rFonts w:ascii="Calibri" w:hAnsi="Calibri" w:eastAsia="宋体" w:cs="Times New Roman"/>
          <w:color w:val="000000"/>
          <w:sz w:val="18"/>
          <w:highlight w:val="none"/>
        </w:rPr>
      </w:pPr>
      <m:oMath>
        <m:r>
          <m:rPr>
            <m:sty m:val="p"/>
          </m:rPr>
          <w:rPr>
            <w:rFonts w:hint="eastAsia" w:ascii="Cambria Math" w:hAnsi="Cambria Math" w:cs="Times New Roman"/>
            <w:color w:val="000000"/>
            <w:highlight w:val="none"/>
            <w:lang w:val="en-US" w:eastAsia="zh-CN"/>
          </w:rPr>
          <m:t>M</m:t>
        </m:r>
        <m:r>
          <m:rPr>
            <m:sty m:val="p"/>
          </m:rPr>
          <w:rPr>
            <w:rFonts w:ascii="Cambria Math" w:hAnsi="Cambria Math" w:eastAsia="宋体" w:cs="Times New Roman"/>
            <w:color w:val="000000"/>
            <w:highlight w:val="none"/>
          </w:rPr>
          <m:t>=</m:t>
        </m:r>
        <m:f>
          <m:fPr>
            <m:ctrlPr>
              <w:rPr>
                <w:rFonts w:ascii="Cambria Math" w:hAnsi="Cambria Math" w:eastAsia="宋体" w:cs="Times New Roman"/>
                <w:color w:val="000000"/>
                <w:highlight w:val="none"/>
              </w:rPr>
            </m:ctrlPr>
          </m:fPr>
          <m:num>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7</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num>
          <m:den>
            <m:sSub>
              <m:sSubPr>
                <m:ctrlPr>
                  <w:rPr>
                    <w:rFonts w:ascii="Cambria Math" w:hAnsi="Cambria Math" w:eastAsia="宋体" w:cs="Times New Roman"/>
                    <w:i/>
                    <w:color w:val="000000"/>
                    <w:highlight w:val="none"/>
                  </w:rPr>
                </m:ctrlPr>
              </m:sSubPr>
              <m:e>
                <m:r>
                  <w:rPr>
                    <w:rFonts w:ascii="Cambria Math" w:hAnsi="Cambria Math" w:eastAsia="宋体" w:cs="Times New Roman"/>
                    <w:color w:val="000000"/>
                    <w:highlight w:val="none"/>
                  </w:rPr>
                  <m:t>T</m:t>
                </m:r>
                <m:ctrlPr>
                  <w:rPr>
                    <w:rFonts w:ascii="Cambria Math" w:hAnsi="Cambria Math" w:eastAsia="宋体" w:cs="Times New Roman"/>
                    <w:i/>
                    <w:color w:val="000000"/>
                    <w:highlight w:val="none"/>
                  </w:rPr>
                </m:ctrlPr>
              </m:e>
              <m:sub>
                <m:r>
                  <w:rPr>
                    <w:rFonts w:ascii="Cambria Math" w:hAnsi="Cambria Math" w:eastAsia="宋体" w:cs="Times New Roman"/>
                    <w:color w:val="000000"/>
                    <w:highlight w:val="none"/>
                  </w:rPr>
                  <m:t>8</m:t>
                </m:r>
                <m:ctrlPr>
                  <w:rPr>
                    <w:rFonts w:ascii="Cambria Math" w:hAnsi="Cambria Math" w:eastAsia="宋体" w:cs="Times New Roman"/>
                    <w:i/>
                    <w:color w:val="000000"/>
                    <w:highlight w:val="none"/>
                  </w:rPr>
                </m:ctrlPr>
              </m:sub>
            </m:sSub>
            <m:ctrlPr>
              <w:rPr>
                <w:rFonts w:ascii="Cambria Math" w:hAnsi="Cambria Math" w:eastAsia="宋体" w:cs="Times New Roman"/>
                <w:color w:val="000000"/>
                <w:highlight w:val="none"/>
              </w:rPr>
            </m:ctrlPr>
          </m:den>
        </m:f>
        <m:r>
          <m:rPr>
            <m:sty m:val="p"/>
          </m:rPr>
          <w:rPr>
            <w:rFonts w:hint="eastAsia" w:ascii="Cambria Math" w:hAnsi="Cambria Math" w:eastAsia="宋体" w:cs="Times New Roman"/>
            <w:color w:val="000000"/>
            <w:highlight w:val="none"/>
          </w:rPr>
          <m:t>×</m:t>
        </m:r>
        <m:r>
          <m:rPr>
            <m:sty m:val="p"/>
          </m:rPr>
          <w:rPr>
            <w:rFonts w:ascii="Cambria Math" w:hAnsi="Cambria Math" w:eastAsia="宋体" w:cs="Times New Roman"/>
            <w:color w:val="000000"/>
            <w:highlight w:val="none"/>
          </w:rPr>
          <m:t>100%</m:t>
        </m:r>
      </m:oMath>
      <w:r>
        <w:rPr>
          <w:rFonts w:ascii="黑体" w:hAnsi="Times New Roman" w:eastAsia="黑体" w:cs="Times New Roman"/>
          <w:szCs w:val="24"/>
          <w:highlight w:val="none"/>
        </w:rPr>
        <w:t>…………………………………………</w:t>
      </w:r>
      <w:r>
        <w:rPr>
          <w:rFonts w:hint="eastAsia" w:ascii="Calibri" w:hAnsi="Calibri" w:eastAsia="宋体" w:cs="Times New Roman"/>
          <w:color w:val="000000"/>
          <w:szCs w:val="24"/>
          <w:highlight w:val="none"/>
        </w:rPr>
        <w:t>（</w:t>
      </w:r>
      <w:r>
        <w:rPr>
          <w:rFonts w:hint="eastAsia" w:ascii="宋体" w:hAnsi="宋体" w:eastAsia="宋体" w:cs="宋体"/>
          <w:color w:val="000000"/>
          <w:szCs w:val="24"/>
          <w:highlight w:val="none"/>
        </w:rPr>
        <w:t>A.12</w:t>
      </w:r>
      <w:r>
        <w:rPr>
          <w:rFonts w:hint="eastAsia" w:ascii="Calibri" w:hAnsi="Calibri" w:eastAsia="宋体" w:cs="Times New Roman"/>
          <w:color w:val="000000"/>
          <w:szCs w:val="24"/>
          <w:highlight w:val="none"/>
        </w:rPr>
        <w:t>）</w:t>
      </w:r>
    </w:p>
    <w:p>
      <w:pPr>
        <w:pStyle w:val="58"/>
        <w:ind w:firstLine="420"/>
        <w:rPr>
          <w:rFonts w:hint="eastAsia" w:hAnsi="Times New Roman" w:cs="Times New Roman"/>
        </w:rPr>
      </w:pPr>
      <w:r>
        <w:rPr>
          <w:rFonts w:hint="eastAsia" w:hAnsi="Times New Roman" w:cs="Times New Roman"/>
        </w:rPr>
        <w:t>式中：</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r>
          <m:rPr>
            <m:sty m:val="p"/>
          </m:rPr>
          <w:rPr>
            <w:rFonts w:hint="eastAsia" w:ascii="Cambria Math" w:hAnsi="Cambria Math" w:cs="Times New Roman"/>
            <w:color w:val="000000"/>
            <w:highlight w:val="none"/>
            <w:lang w:val="en-US" w:eastAsia="zh-CN"/>
          </w:rPr>
          <m:t>M</m:t>
        </m:r>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检票机可靠度</w:t>
      </w:r>
      <w:r>
        <w:rPr>
          <w:rFonts w:ascii="宋体" w:hAnsi="Times New Roman" w:eastAsia="宋体" w:cs="Times New Roman"/>
          <w:kern w:val="0"/>
          <w:szCs w:val="20"/>
          <w:highlight w:val="none"/>
        </w:rPr>
        <w:t>；</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Calibri" w:eastAsia="宋体" w:cs="Times New Roman"/>
          <w:kern w:val="0"/>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7</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检票机无故障运行时间，单位为小时；</w:t>
      </w:r>
    </w:p>
    <w:p>
      <w:pPr>
        <w:keepNext w:val="0"/>
        <w:keepLines w:val="0"/>
        <w:pageBreakBefore w:val="0"/>
        <w:widowControl/>
        <w:numPr>
          <w:ilvl w:val="255"/>
          <w:numId w:val="0"/>
        </w:numPr>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宋体" w:eastAsia="宋体" w:cs="宋体"/>
          <w:kern w:val="21"/>
          <w:szCs w:val="20"/>
          <w:highlight w:val="none"/>
        </w:rPr>
      </w:pPr>
      <m:oMath>
        <m:sSub>
          <m:sSubPr>
            <m:ctrlPr>
              <w:rPr>
                <w:rFonts w:ascii="Cambria Math" w:hAnsi="Cambria Math" w:cs="Times New Roman"/>
                <w:i/>
                <w:kern w:val="0"/>
                <w:szCs w:val="20"/>
                <w:highlight w:val="none"/>
              </w:rPr>
            </m:ctrlPr>
          </m:sSubPr>
          <m:e>
            <m:r>
              <w:rPr>
                <w:rFonts w:hint="default" w:ascii="Cambria Math" w:hAnsi="Cambria Math" w:cs="Times New Roman"/>
                <w:kern w:val="0"/>
                <w:szCs w:val="20"/>
                <w:highlight w:val="none"/>
                <w:lang w:val="en-US" w:eastAsia="zh-CN"/>
              </w:rPr>
              <m:t>T</m:t>
            </m:r>
            <m:ctrlPr>
              <w:rPr>
                <w:rFonts w:ascii="Cambria Math" w:hAnsi="Cambria Math" w:cs="Times New Roman"/>
                <w:i/>
                <w:kern w:val="0"/>
                <w:szCs w:val="20"/>
                <w:highlight w:val="none"/>
              </w:rPr>
            </m:ctrlPr>
          </m:e>
          <m:sub>
            <m:r>
              <w:rPr>
                <w:rFonts w:hint="default" w:ascii="Cambria Math" w:hAnsi="Cambria Math" w:cs="Times New Roman"/>
                <w:kern w:val="0"/>
                <w:szCs w:val="20"/>
                <w:highlight w:val="none"/>
                <w:lang w:val="en-US" w:eastAsia="zh-CN"/>
              </w:rPr>
              <m:t>8</m:t>
            </m:r>
            <m:ctrlPr>
              <w:rPr>
                <w:rFonts w:ascii="Cambria Math" w:hAnsi="Cambria Math" w:cs="Times New Roman"/>
                <w:i/>
                <w:kern w:val="0"/>
                <w:szCs w:val="20"/>
                <w:highlight w:val="none"/>
              </w:rPr>
            </m:ctrlPr>
          </m:sub>
        </m:sSub>
      </m:oMath>
      <w:r>
        <w:rPr>
          <w:rFonts w:hint="eastAsia" w:ascii="宋体" w:hAnsi="宋体" w:eastAsia="宋体" w:cs="宋体"/>
          <w:kern w:val="0"/>
          <w:szCs w:val="20"/>
          <w:highlight w:val="none"/>
        </w:rPr>
        <w:t>——</w:t>
      </w:r>
      <w:r>
        <w:rPr>
          <w:rFonts w:hint="eastAsia" w:ascii="宋体" w:hAnsi="Times New Roman" w:eastAsia="宋体" w:cs="Times New Roman"/>
          <w:kern w:val="0"/>
          <w:szCs w:val="20"/>
          <w:highlight w:val="none"/>
        </w:rPr>
        <w:t>检票机计划运行时间，单位为小时。</w:t>
      </w:r>
    </w:p>
    <w:p>
      <w:pPr>
        <w:pStyle w:val="80"/>
        <w:spacing w:before="120" w:after="120"/>
      </w:pPr>
      <w:bookmarkStart w:id="492" w:name="_Toc82684593"/>
      <w:bookmarkStart w:id="493" w:name="_Toc82677015"/>
      <w:bookmarkStart w:id="494" w:name="_Toc82676902"/>
      <w:r>
        <w:rPr>
          <w:rFonts w:hint="eastAsia"/>
        </w:rPr>
        <w:t>列车退出全自动运行模式率</w:t>
      </w:r>
      <w:bookmarkEnd w:id="492"/>
      <w:bookmarkEnd w:id="493"/>
      <w:bookmarkEnd w:id="494"/>
    </w:p>
    <w:p>
      <w:pPr>
        <w:pStyle w:val="81"/>
        <w:spacing w:before="120" w:after="120"/>
      </w:pPr>
      <w:r>
        <w:rPr>
          <w:rFonts w:hint="eastAsia"/>
        </w:rPr>
        <w:t>定义</w:t>
      </w:r>
    </w:p>
    <w:p>
      <w:pPr>
        <w:pStyle w:val="58"/>
        <w:ind w:firstLine="420"/>
      </w:pPr>
      <w:r>
        <w:rPr>
          <w:rFonts w:hint="eastAsia"/>
        </w:rPr>
        <w:t>统计期内，实际开行列车退出全自动运行模式次数与列车全自动运行模式图定开行列车次数之比，实际开行的列车次数中不包括临时调整的列车次数。</w:t>
      </w:r>
    </w:p>
    <w:p>
      <w:pPr>
        <w:pStyle w:val="81"/>
        <w:spacing w:before="120" w:after="120"/>
      </w:pPr>
      <w:r>
        <w:rPr>
          <w:rFonts w:hint="eastAsia"/>
        </w:rPr>
        <w:t>计算方法</w:t>
      </w:r>
    </w:p>
    <w:p>
      <w:pPr>
        <w:pStyle w:val="58"/>
        <w:ind w:firstLine="420"/>
      </w:pPr>
      <w:r>
        <w:rPr>
          <w:rFonts w:hint="eastAsia"/>
        </w:rPr>
        <w:t>列车退出全自动运行模式率的计算方法见式A.</w:t>
      </w:r>
      <w:r>
        <w:rPr>
          <w:rFonts w:hint="eastAsia"/>
          <w:lang w:val="en-US" w:eastAsia="zh-CN"/>
        </w:rPr>
        <w:t>13</w:t>
      </w:r>
      <w:r>
        <w:rPr>
          <w:rFonts w:hint="eastAsia"/>
        </w:rPr>
        <w:t>。</w:t>
      </w:r>
    </w:p>
    <w:p>
      <w:pPr>
        <w:pStyle w:val="115"/>
        <w:rPr>
          <w:rFonts w:hint="eastAsia" w:eastAsia="宋体"/>
          <w:lang w:eastAsia="zh-CN"/>
        </w:rPr>
      </w:pPr>
      <w:r>
        <w:tab/>
      </w:r>
      <m:oMath>
        <m:r>
          <m:rPr>
            <m:sty m:val="p"/>
          </m:rPr>
          <w:rPr>
            <w:rFonts w:hint="eastAsia" w:ascii="Cambria Math" w:hAnsi="Cambria Math"/>
            <w:color w:val="000000"/>
            <w:lang w:val="en-US" w:eastAsia="zh-CN"/>
          </w:rPr>
          <m:t>O</m:t>
        </m:r>
        <m:r>
          <m:rPr>
            <m:sty m:val="p"/>
          </m:rPr>
          <w:rPr>
            <w:rFonts w:ascii="Cambria Math" w:hAnsi="Cambria Math"/>
            <w:color w:val="000000"/>
          </w:rPr>
          <m:t>=</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11</m:t>
                </m:r>
                <m:ctrlPr>
                  <w:rPr>
                    <w:rFonts w:ascii="Cambria Math" w:hAnsi="Cambria Math"/>
                    <w:i/>
                    <w:color w:val="000000"/>
                  </w:rPr>
                </m:ctrlPr>
              </m:sub>
            </m:sSub>
            <m:ctrlPr>
              <w:rPr>
                <w:rFonts w:ascii="Cambria Math" w:hAnsi="Cambria Math"/>
                <w:color w:val="000000"/>
              </w:rPr>
            </m:ctrlPr>
          </m:num>
          <m:den>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12</m:t>
                </m:r>
                <m:ctrlPr>
                  <w:rPr>
                    <w:rFonts w:ascii="Cambria Math" w:hAnsi="Cambria Math"/>
                    <w:i/>
                    <w:color w:val="000000"/>
                  </w:rPr>
                </m:ctrlPr>
              </m:sub>
            </m:sSub>
            <m:ctrlPr>
              <w:rPr>
                <w:rFonts w:ascii="Cambria Math" w:hAnsi="Cambria Math"/>
                <w:color w:val="000000"/>
              </w:rPr>
            </m:ctrlPr>
          </m:den>
        </m:f>
        <m:r>
          <m:rPr>
            <m:sty m:val="p"/>
          </m:rPr>
          <w:rPr>
            <w:rFonts w:hint="eastAsia" w:ascii="Cambria Math" w:hAnsi="Cambria Math"/>
            <w:color w:val="000000"/>
          </w:rPr>
          <m:t>×</m:t>
        </m:r>
        <m:r>
          <m:rPr>
            <m:sty m:val="p"/>
          </m:rP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13</w:t>
      </w:r>
      <w:r>
        <w:rPr>
          <w:rFonts w:hint="eastAsia"/>
          <w:lang w:eastAsia="zh-CN"/>
        </w:rPr>
        <w:t>）</w:t>
      </w:r>
    </w:p>
    <w:p>
      <w:pPr>
        <w:pStyle w:val="57"/>
        <w:ind w:firstLine="420"/>
      </w:pPr>
      <w:r>
        <w:rPr>
          <w:rFonts w:hint="eastAsia"/>
        </w:rPr>
        <w:t>式中：</w:t>
      </w:r>
    </w:p>
    <w:p>
      <w:pPr>
        <w:pStyle w:val="58"/>
        <w:ind w:firstLine="420"/>
        <w:outlineLvl w:val="0"/>
      </w:pPr>
      <m:oMath>
        <m:r>
          <m:rPr>
            <m:sty m:val="p"/>
          </m:rPr>
          <w:rPr>
            <w:rFonts w:hint="eastAsia" w:ascii="Cambria Math" w:hAnsi="Cambria Math"/>
            <w:color w:val="000000"/>
            <w:lang w:val="en-US" w:eastAsia="zh-CN"/>
          </w:rPr>
          <m:t>O</m:t>
        </m:r>
      </m:oMath>
      <w:r>
        <w:rPr>
          <w:rFonts w:hint="eastAsia" w:hAnsi="宋体" w:cs="宋体"/>
        </w:rPr>
        <w:t>——</w:t>
      </w:r>
      <w:r>
        <w:t>列车退出全自动运行模式率；</w:t>
      </w:r>
    </w:p>
    <w:p>
      <w:pPr>
        <w:pStyle w:val="58"/>
        <w:ind w:firstLine="420"/>
      </w:pPr>
      <m:oMath>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11</m:t>
            </m:r>
            <m:ctrlPr>
              <w:rPr>
                <w:rFonts w:ascii="Cambria Math" w:hAnsi="Cambria Math"/>
                <w:i/>
                <w:color w:val="000000"/>
              </w:rPr>
            </m:ctrlPr>
          </m:sub>
        </m:sSub>
      </m:oMath>
      <w:r>
        <w:rPr>
          <w:rFonts w:hint="eastAsia" w:hAnsi="宋体" w:cs="宋体"/>
        </w:rPr>
        <w:t>——</w:t>
      </w:r>
      <w:r>
        <w:t>实际开行列车退出全自动运行模式次数，单位为列；</w:t>
      </w:r>
    </w:p>
    <w:p>
      <w:pPr>
        <w:pStyle w:val="58"/>
        <w:ind w:firstLine="420"/>
      </w:pPr>
      <m:oMath>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12</m:t>
            </m:r>
            <m:ctrlPr>
              <w:rPr>
                <w:rFonts w:ascii="Cambria Math" w:hAnsi="Cambria Math"/>
                <w:i/>
                <w:color w:val="000000"/>
              </w:rPr>
            </m:ctrlPr>
          </m:sub>
        </m:sSub>
      </m:oMath>
      <w:r>
        <w:rPr>
          <w:rFonts w:hint="eastAsia" w:hAnsi="宋体" w:cs="宋体"/>
        </w:rPr>
        <w:t>——</w:t>
      </w:r>
      <w:r>
        <w:t>图定开行全自动运行模式列车次数，单位为列</w:t>
      </w:r>
      <w:r>
        <w:rPr>
          <w:rFonts w:hint="eastAsia"/>
        </w:rPr>
        <w:t>。</w:t>
      </w:r>
    </w:p>
    <w:p>
      <w:pPr>
        <w:pStyle w:val="80"/>
        <w:spacing w:before="120" w:after="120"/>
      </w:pPr>
      <w:bookmarkStart w:id="495" w:name="_Toc82676903"/>
      <w:bookmarkStart w:id="496" w:name="_Toc82677016"/>
      <w:bookmarkStart w:id="497" w:name="_Toc82684594"/>
      <w:r>
        <w:rPr>
          <w:rFonts w:hint="eastAsia"/>
        </w:rPr>
        <w:t>列车唤醒自检成功率</w:t>
      </w:r>
      <w:bookmarkEnd w:id="495"/>
      <w:bookmarkEnd w:id="496"/>
      <w:bookmarkEnd w:id="497"/>
    </w:p>
    <w:p>
      <w:pPr>
        <w:pStyle w:val="81"/>
        <w:spacing w:before="120" w:after="120"/>
      </w:pPr>
      <w:r>
        <w:rPr>
          <w:rFonts w:hint="eastAsia"/>
        </w:rPr>
        <w:t>定义</w:t>
      </w:r>
    </w:p>
    <w:p>
      <w:pPr>
        <w:pStyle w:val="58"/>
        <w:ind w:firstLine="420"/>
      </w:pPr>
      <w:r>
        <w:rPr>
          <w:rFonts w:hint="eastAsia"/>
        </w:rPr>
        <w:t>统计期内，实际列车唤醒自检成功次数与图定计划列车唤醒自检次数之比，实际列车唤醒自检成功次数中不包括临时唤醒自检的列车次数。</w:t>
      </w:r>
    </w:p>
    <w:p>
      <w:pPr>
        <w:pStyle w:val="81"/>
        <w:spacing w:before="120" w:after="120"/>
      </w:pPr>
      <w:r>
        <w:rPr>
          <w:rFonts w:hint="eastAsia"/>
        </w:rPr>
        <w:t>计算方法</w:t>
      </w:r>
    </w:p>
    <w:p>
      <w:pPr>
        <w:pStyle w:val="58"/>
        <w:ind w:firstLine="420"/>
      </w:pPr>
      <w:r>
        <w:rPr>
          <w:rFonts w:hint="eastAsia"/>
        </w:rPr>
        <w:t>列车唤醒自检成功率的计算方法见式A.1</w:t>
      </w:r>
      <w:r>
        <w:rPr>
          <w:rFonts w:hint="eastAsia"/>
          <w:lang w:val="en-US" w:eastAsia="zh-CN"/>
        </w:rPr>
        <w:t>4</w:t>
      </w:r>
      <w:r>
        <w:rPr>
          <w:rFonts w:hint="eastAsia"/>
        </w:rPr>
        <w:t>。</w:t>
      </w:r>
    </w:p>
    <w:p>
      <w:pPr>
        <w:pStyle w:val="115"/>
        <w:rPr>
          <w:rFonts w:hint="eastAsia" w:eastAsia="宋体"/>
          <w:lang w:eastAsia="zh-CN"/>
        </w:rPr>
      </w:pPr>
      <w:r>
        <w:tab/>
      </w:r>
      <m:oMath>
        <m:r>
          <m:rPr>
            <m:sty m:val="p"/>
          </m:rPr>
          <w:rPr>
            <w:rFonts w:hint="eastAsia" w:ascii="Cambria Math" w:hAnsi="Cambria Math"/>
            <w:color w:val="000000"/>
            <w:lang w:val="en-US" w:eastAsia="zh-CN"/>
          </w:rPr>
          <m:t>P</m:t>
        </m:r>
        <m:r>
          <m:rPr>
            <m:sty m:val="p"/>
          </m:rPr>
          <w:rPr>
            <w:rFonts w:ascii="Cambria Math" w:hAnsi="Cambria Math"/>
            <w:color w:val="000000"/>
          </w:rPr>
          <m:t>=</m:t>
        </m:r>
        <m:f>
          <m:fPr>
            <m:ctrlPr>
              <w:rPr>
                <w:rFonts w:ascii="Cambria Math" w:hAnsi="Cambria Math"/>
                <w:color w:val="000000"/>
              </w:rPr>
            </m:ctrlPr>
          </m:fPr>
          <m:num>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13</m:t>
                </m:r>
                <m:ctrlPr>
                  <w:rPr>
                    <w:rFonts w:ascii="Cambria Math" w:hAnsi="Cambria Math"/>
                    <w:i/>
                    <w:color w:val="000000"/>
                  </w:rPr>
                </m:ctrlPr>
              </m:sub>
            </m:sSub>
            <m:ctrlPr>
              <w:rPr>
                <w:rFonts w:ascii="Cambria Math" w:hAnsi="Cambria Math"/>
                <w:color w:val="000000"/>
              </w:rPr>
            </m:ctrlPr>
          </m:num>
          <m:den>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14</m:t>
                </m:r>
                <m:ctrlPr>
                  <w:rPr>
                    <w:rFonts w:ascii="Cambria Math" w:hAnsi="Cambria Math"/>
                    <w:i/>
                    <w:color w:val="000000"/>
                  </w:rPr>
                </m:ctrlPr>
              </m:sub>
            </m:sSub>
            <m:ctrlPr>
              <w:rPr>
                <w:rFonts w:ascii="Cambria Math" w:hAnsi="Cambria Math"/>
                <w:color w:val="000000"/>
              </w:rPr>
            </m:ctrlPr>
          </m:den>
        </m:f>
        <m:r>
          <m:rPr>
            <m:sty m:val="p"/>
          </m:rPr>
          <w:rPr>
            <w:rFonts w:hint="eastAsia" w:ascii="Cambria Math" w:hAnsi="Cambria Math"/>
            <w:color w:val="000000"/>
          </w:rPr>
          <m:t>×</m:t>
        </m:r>
        <m:r>
          <m:rPr>
            <m:sty m:val="p"/>
          </m:rPr>
          <w:rPr>
            <w:rFonts w:ascii="Cambria Math" w:hAnsi="Cambria Math"/>
            <w:color w:val="000000"/>
          </w:rPr>
          <m:t>100%</m:t>
        </m:r>
      </m:oMath>
      <w:r>
        <w:rPr>
          <w:rFonts w:ascii="微软雅黑" w:hAnsi="微软雅黑" w:eastAsia="微软雅黑"/>
        </w:rPr>
        <w:tab/>
      </w:r>
      <w:r>
        <w:rPr>
          <w:rFonts w:hint="eastAsia"/>
          <w:lang w:eastAsia="zh-CN"/>
        </w:rPr>
        <w:t>（</w:t>
      </w:r>
      <w:r>
        <w:t>A.</w:t>
      </w:r>
      <w:r>
        <w:rPr>
          <w:rFonts w:hint="default"/>
          <w:lang w:val="en-US"/>
        </w:rPr>
        <w:t>14</w:t>
      </w:r>
      <w:r>
        <w:rPr>
          <w:rFonts w:hint="eastAsia"/>
          <w:lang w:eastAsia="zh-CN"/>
        </w:rPr>
        <w:t>）</w:t>
      </w:r>
    </w:p>
    <w:p>
      <w:pPr>
        <w:pStyle w:val="57"/>
        <w:ind w:firstLine="420"/>
      </w:pPr>
      <w:r>
        <w:rPr>
          <w:rFonts w:hint="eastAsia"/>
        </w:rPr>
        <w:t>式中：</w:t>
      </w:r>
    </w:p>
    <w:p>
      <w:pPr>
        <w:pStyle w:val="58"/>
        <w:ind w:firstLine="420"/>
        <w:outlineLvl w:val="0"/>
      </w:pPr>
      <m:oMath>
        <m:r>
          <m:rPr>
            <m:sty m:val="p"/>
          </m:rPr>
          <w:rPr>
            <w:rFonts w:hint="eastAsia" w:ascii="Cambria Math" w:hAnsi="Cambria Math"/>
            <w:color w:val="000000"/>
            <w:lang w:val="en-US" w:eastAsia="zh-CN"/>
          </w:rPr>
          <m:t>P</m:t>
        </m:r>
      </m:oMath>
      <w:r>
        <w:rPr>
          <w:rFonts w:hint="eastAsia" w:hAnsi="宋体" w:cs="宋体"/>
        </w:rPr>
        <w:t>——</w:t>
      </w:r>
      <w:r>
        <w:t>列车唤醒自检成功率；</w:t>
      </w:r>
    </w:p>
    <w:p>
      <w:pPr>
        <w:pStyle w:val="58"/>
        <w:ind w:firstLine="420"/>
      </w:pPr>
      <m:oMath>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13</m:t>
            </m:r>
            <m:ctrlPr>
              <w:rPr>
                <w:rFonts w:ascii="Cambria Math" w:hAnsi="Cambria Math"/>
                <w:i/>
                <w:color w:val="000000"/>
              </w:rPr>
            </m:ctrlPr>
          </m:sub>
        </m:sSub>
      </m:oMath>
      <w:r>
        <w:rPr>
          <w:rFonts w:hint="eastAsia" w:hAnsi="宋体" w:cs="宋体"/>
        </w:rPr>
        <w:t>——</w:t>
      </w:r>
      <w:r>
        <w:t>实际列车唤醒自检成功次数，单位为列</w:t>
      </w:r>
      <w:r>
        <w:rPr>
          <w:rFonts w:hint="eastAsia"/>
        </w:rPr>
        <w:t>；</w:t>
      </w:r>
    </w:p>
    <w:p>
      <w:pPr>
        <w:pStyle w:val="58"/>
      </w:pPr>
      <m:oMath>
        <m:sSub>
          <m:sSubPr>
            <m:ctrlPr>
              <w:rPr>
                <w:rFonts w:ascii="Cambria Math" w:hAnsi="Cambria Math"/>
                <w:i/>
                <w:color w:val="000000"/>
              </w:rPr>
            </m:ctrlPr>
          </m:sSubPr>
          <m:e>
            <m:r>
              <w:rPr>
                <w:rFonts w:ascii="Cambria Math" w:hAnsi="Cambria Math"/>
                <w:color w:val="000000"/>
              </w:rPr>
              <m:t>N</m:t>
            </m:r>
            <m:ctrlPr>
              <w:rPr>
                <w:rFonts w:ascii="Cambria Math" w:hAnsi="Cambria Math"/>
                <w:i/>
                <w:color w:val="000000"/>
              </w:rPr>
            </m:ctrlPr>
          </m:e>
          <m:sub>
            <m:r>
              <w:rPr>
                <w:rFonts w:ascii="Cambria Math" w:hAnsi="Cambria Math"/>
                <w:color w:val="000000"/>
              </w:rPr>
              <m:t>14</m:t>
            </m:r>
            <m:ctrlPr>
              <w:rPr>
                <w:rFonts w:ascii="Cambria Math" w:hAnsi="Cambria Math"/>
                <w:i/>
                <w:color w:val="000000"/>
              </w:rPr>
            </m:ctrlPr>
          </m:sub>
        </m:sSub>
      </m:oMath>
      <w:r>
        <w:rPr>
          <w:rFonts w:hint="eastAsia" w:hAnsi="宋体" w:cs="宋体"/>
        </w:rPr>
        <w:t>——</w:t>
      </w:r>
      <w:r>
        <w:t>图定计划列车唤醒自检次数，单位为列。</w:t>
      </w:r>
    </w:p>
    <w:p>
      <w:pPr>
        <w:pStyle w:val="80"/>
        <w:spacing w:before="120" w:after="120"/>
        <w:rPr>
          <w:rFonts w:hint="eastAsia" w:hAnsi="Times New Roman" w:cs="Times New Roman"/>
        </w:rPr>
      </w:pPr>
      <w:r>
        <w:rPr>
          <w:rFonts w:hint="eastAsia" w:hAnsi="Times New Roman" w:cs="Times New Roman"/>
        </w:rPr>
        <w:t>客运强度</w:t>
      </w:r>
    </w:p>
    <w:p>
      <w:pPr>
        <w:pStyle w:val="81"/>
        <w:spacing w:before="120" w:after="120"/>
        <w:rPr>
          <w:rFonts w:hint="eastAsia" w:hAnsi="Times New Roman" w:cs="Times New Roman"/>
        </w:rPr>
      </w:pPr>
      <w:r>
        <w:rPr>
          <w:rFonts w:hint="eastAsia" w:hAnsi="Times New Roman" w:cs="Times New Roman"/>
        </w:rPr>
        <w:t>定义</w:t>
      </w:r>
    </w:p>
    <w:p>
      <w:pPr>
        <w:pStyle w:val="58"/>
        <w:ind w:firstLine="420"/>
        <w:rPr>
          <w:rFonts w:hint="eastAsia" w:hAnsi="Times New Roman" w:cs="Times New Roman"/>
        </w:rPr>
      </w:pPr>
      <w:r>
        <w:rPr>
          <w:rFonts w:hint="eastAsia" w:hAnsi="Times New Roman" w:cs="Times New Roman"/>
        </w:rPr>
        <w:t>统计期内，单位时间的客运量与运营</w:t>
      </w:r>
      <w:r>
        <w:rPr>
          <w:rFonts w:hint="eastAsia" w:hAnsi="Times New Roman" w:cs="Times New Roman"/>
          <w:lang w:val="en-US" w:eastAsia="zh-CN"/>
        </w:rPr>
        <w:t>线路</w:t>
      </w:r>
      <w:r>
        <w:rPr>
          <w:rFonts w:hint="eastAsia" w:hAnsi="Times New Roman" w:cs="Times New Roman"/>
        </w:rPr>
        <w:t>长度之比，反映单位</w:t>
      </w:r>
      <w:r>
        <w:rPr>
          <w:rFonts w:hint="eastAsia" w:hAnsi="Times New Roman" w:cs="Times New Roman"/>
          <w:lang w:val="en-US" w:eastAsia="zh-CN"/>
        </w:rPr>
        <w:t>线路</w:t>
      </w:r>
      <w:r>
        <w:rPr>
          <w:rFonts w:hint="eastAsia" w:hAnsi="Times New Roman" w:cs="Times New Roman"/>
        </w:rPr>
        <w:t>长度上的平均载客量，在一定程度上体现运营效率。</w:t>
      </w:r>
    </w:p>
    <w:p>
      <w:pPr>
        <w:pStyle w:val="81"/>
        <w:spacing w:before="120" w:after="120"/>
        <w:rPr>
          <w:rFonts w:hint="eastAsia" w:hAnsi="Times New Roman" w:cs="Times New Roman"/>
        </w:rPr>
      </w:pPr>
      <w:r>
        <w:rPr>
          <w:rFonts w:hint="eastAsia" w:hAnsi="Times New Roman" w:cs="Times New Roman"/>
        </w:rPr>
        <w:t>计算方法</w:t>
      </w:r>
    </w:p>
    <w:p>
      <w:pPr>
        <w:pStyle w:val="58"/>
        <w:ind w:firstLine="420"/>
        <w:rPr>
          <w:rFonts w:hint="eastAsia" w:hAnsi="Times New Roman" w:cs="Times New Roman"/>
        </w:rPr>
      </w:pPr>
      <w:r>
        <w:rPr>
          <w:rFonts w:hint="eastAsia" w:hAnsi="Times New Roman" w:cs="Times New Roman"/>
        </w:rPr>
        <w:t>客运强度的计算方法见式A.1</w:t>
      </w:r>
      <w:r>
        <w:rPr>
          <w:rFonts w:hint="eastAsia" w:cs="Times New Roman"/>
          <w:lang w:val="en-US" w:eastAsia="zh-CN"/>
        </w:rPr>
        <w:t>5</w:t>
      </w:r>
      <w:r>
        <w:rPr>
          <w:rFonts w:hint="eastAsia" w:hAnsi="Times New Roman" w:cs="Times New Roman"/>
        </w:rPr>
        <w:t>。</w:t>
      </w:r>
    </w:p>
    <w:p>
      <w:pPr>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rFonts w:ascii="Calibri" w:hAnsi="Calibri" w:eastAsia="宋体" w:cs="Times New Roman"/>
          <w:color w:val="000000"/>
          <w:sz w:val="18"/>
          <w:highlight w:val="none"/>
        </w:rPr>
      </w:pPr>
      <m:oMath>
        <m:r>
          <m:rPr>
            <m:sty m:val="p"/>
          </m:rPr>
          <w:rPr>
            <w:rFonts w:hint="eastAsia" w:ascii="Cambria Math" w:hAnsi="Cambria Math" w:cs="Times New Roman"/>
            <w:color w:val="000000"/>
            <w:highlight w:val="none"/>
            <w:lang w:val="en-US" w:eastAsia="zh-CN"/>
          </w:rPr>
          <m:t>Q</m:t>
        </m:r>
        <m:r>
          <m:rPr>
            <m:sty m:val="p"/>
          </m:rPr>
          <w:rPr>
            <w:rFonts w:ascii="Cambria Math" w:hAnsi="Cambria Math" w:eastAsia="宋体" w:cs="Times New Roman"/>
            <w:color w:val="000000"/>
            <w:highlight w:val="none"/>
          </w:rPr>
          <m:t>=</m:t>
        </m:r>
        <m:f>
          <m:fPr>
            <m:ctrlPr>
              <w:rPr>
                <w:rFonts w:ascii="Cambria Math" w:hAnsi="Cambria Math" w:eastAsia="宋体" w:cs="Times New Roman"/>
                <w:b w:val="0"/>
                <w:i w:val="0"/>
                <w:color w:val="000000"/>
                <w:highlight w:val="none"/>
              </w:rPr>
            </m:ctrlPr>
          </m:fPr>
          <m:num>
            <m:r>
              <w:rPr>
                <w:rFonts w:hint="default" w:ascii="Cambria Math" w:hAnsi="Cambria Math" w:eastAsia="宋体" w:cs="Times New Roman"/>
                <w:color w:val="000000"/>
                <w:highlight w:val="none"/>
                <w:lang w:val="en-US" w:eastAsia="zh-CN"/>
              </w:rPr>
              <m:t>V</m:t>
            </m:r>
            <m:ctrlPr>
              <w:rPr>
                <w:rFonts w:ascii="Cambria Math" w:hAnsi="Cambria Math" w:eastAsia="宋体" w:cs="Times New Roman"/>
                <w:b w:val="0"/>
                <w:i w:val="0"/>
                <w:color w:val="000000"/>
                <w:highlight w:val="none"/>
              </w:rPr>
            </m:ctrlPr>
          </m:num>
          <m:den>
            <m:sSub>
              <m:sSubPr>
                <m:ctrlPr>
                  <w:rPr>
                    <w:rFonts w:ascii="Cambria Math" w:hAnsi="Cambria Math" w:eastAsia="宋体" w:cs="Times New Roman"/>
                    <w:b w:val="0"/>
                    <w:i w:val="0"/>
                    <w:color w:val="000000"/>
                    <w:highlight w:val="none"/>
                  </w:rPr>
                </m:ctrlPr>
              </m:sSubPr>
              <m:e>
                <m:r>
                  <w:rPr>
                    <w:rFonts w:hint="default" w:ascii="Cambria Math" w:hAnsi="Cambria Math" w:eastAsia="宋体" w:cs="Times New Roman"/>
                    <w:color w:val="000000"/>
                    <w:highlight w:val="none"/>
                    <w:lang w:val="en-US" w:eastAsia="zh-CN"/>
                  </w:rPr>
                  <m:t>L</m:t>
                </m:r>
                <m:ctrlPr>
                  <w:rPr>
                    <w:rFonts w:ascii="Cambria Math" w:hAnsi="Cambria Math" w:eastAsia="宋体" w:cs="Times New Roman"/>
                    <w:b w:val="0"/>
                    <w:i w:val="0"/>
                    <w:color w:val="000000"/>
                    <w:highlight w:val="none"/>
                  </w:rPr>
                </m:ctrlPr>
              </m:e>
              <m:sub>
                <m:r>
                  <m:rPr>
                    <m:sty m:val="p"/>
                  </m:rPr>
                  <w:rPr>
                    <w:rFonts w:hint="eastAsia" w:ascii="Cambria Math" w:hAnsi="Cambria Math" w:eastAsia="宋体" w:cs="Times New Roman"/>
                    <w:color w:val="000000"/>
                    <w:highlight w:val="none"/>
                    <w:lang w:val="en-US" w:eastAsia="zh-CN"/>
                  </w:rPr>
                  <m:t>d</m:t>
                </m:r>
                <m:ctrlPr>
                  <w:rPr>
                    <w:rFonts w:ascii="Cambria Math" w:hAnsi="Cambria Math" w:eastAsia="宋体" w:cs="Times New Roman"/>
                    <w:b w:val="0"/>
                    <w:i w:val="0"/>
                    <w:color w:val="000000"/>
                    <w:highlight w:val="none"/>
                  </w:rPr>
                </m:ctrlPr>
              </m:sub>
            </m:sSub>
            <m:ctrlPr>
              <w:rPr>
                <w:rFonts w:ascii="Cambria Math" w:hAnsi="Cambria Math" w:eastAsia="宋体" w:cs="Times New Roman"/>
                <w:b w:val="0"/>
                <w:i w:val="0"/>
                <w:color w:val="000000"/>
                <w:highlight w:val="none"/>
              </w:rPr>
            </m:ctrlPr>
          </m:den>
        </m:f>
      </m:oMath>
      <w:r>
        <w:rPr>
          <w:rFonts w:ascii="黑体" w:hAnsi="Times New Roman" w:eastAsia="黑体" w:cs="Times New Roman"/>
          <w:szCs w:val="24"/>
          <w:highlight w:val="none"/>
        </w:rPr>
        <w:t>………………………………………………</w:t>
      </w:r>
      <w:r>
        <w:rPr>
          <w:rFonts w:hint="eastAsia" w:ascii="Calibri" w:hAnsi="Calibri" w:eastAsia="宋体" w:cs="Times New Roman"/>
          <w:color w:val="000000"/>
          <w:szCs w:val="24"/>
          <w:highlight w:val="none"/>
        </w:rPr>
        <w:t>（</w:t>
      </w:r>
      <w:r>
        <w:rPr>
          <w:rFonts w:hint="eastAsia" w:ascii="宋体" w:hAnsi="宋体" w:eastAsia="宋体" w:cs="宋体"/>
          <w:color w:val="000000"/>
          <w:szCs w:val="24"/>
          <w:highlight w:val="none"/>
        </w:rPr>
        <w:t>A.1</w:t>
      </w:r>
      <w:r>
        <w:rPr>
          <w:rFonts w:hint="eastAsia" w:ascii="宋体" w:hAnsi="宋体" w:eastAsia="宋体" w:cs="宋体"/>
          <w:color w:val="000000"/>
          <w:szCs w:val="24"/>
          <w:highlight w:val="none"/>
          <w:lang w:val="en-US" w:eastAsia="zh-CN"/>
        </w:rPr>
        <w:t>5</w:t>
      </w:r>
      <w:r>
        <w:rPr>
          <w:rFonts w:hint="eastAsia" w:ascii="Calibri" w:hAnsi="Calibri" w:eastAsia="宋体" w:cs="Times New Roman"/>
          <w:color w:val="000000"/>
          <w:szCs w:val="24"/>
          <w:highlight w:val="none"/>
        </w:rPr>
        <w:t>）</w:t>
      </w:r>
    </w:p>
    <w:p>
      <w:pPr>
        <w:pStyle w:val="58"/>
        <w:ind w:firstLine="420"/>
        <w:rPr>
          <w:rFonts w:hint="eastAsia" w:hAnsi="Times New Roman" w:cs="Times New Roman"/>
        </w:rPr>
      </w:pPr>
      <w:r>
        <w:rPr>
          <w:rFonts w:hint="eastAsia" w:hAnsi="Times New Roman" w:cs="Times New Roman"/>
        </w:rPr>
        <w:t>式中：</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宋体" w:eastAsia="宋体" w:cs="宋体"/>
          <w:kern w:val="0"/>
          <w:szCs w:val="20"/>
          <w:highlight w:val="none"/>
        </w:rPr>
      </w:pPr>
      <m:oMath>
        <m:r>
          <m:rPr>
            <m:sty m:val="p"/>
          </m:rPr>
          <w:rPr>
            <w:rFonts w:hint="eastAsia" w:ascii="Cambria Math" w:hAnsi="Cambria Math" w:cs="Times New Roman"/>
            <w:color w:val="000000"/>
            <w:highlight w:val="none"/>
            <w:lang w:val="en-US" w:eastAsia="zh-CN"/>
          </w:rPr>
          <m:t>Q</m:t>
        </m:r>
      </m:oMath>
      <w:r>
        <w:rPr>
          <w:rFonts w:hint="eastAsia" w:ascii="宋体" w:hAnsi="宋体" w:eastAsia="宋体" w:cs="宋体"/>
          <w:kern w:val="0"/>
          <w:szCs w:val="20"/>
          <w:highlight w:val="none"/>
        </w:rPr>
        <w:t>——客运强度，单位为人/公里；</w:t>
      </w:r>
    </w:p>
    <w:p>
      <w:pPr>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宋体" w:hAnsi="宋体" w:eastAsia="宋体" w:cs="宋体"/>
          <w:kern w:val="0"/>
          <w:szCs w:val="20"/>
          <w:highlight w:val="none"/>
        </w:rPr>
      </w:pPr>
      <m:oMath>
        <m:r>
          <w:rPr>
            <w:rFonts w:hint="default" w:ascii="Cambria Math" w:hAnsi="Cambria Math" w:eastAsia="宋体" w:cs="Times New Roman"/>
            <w:color w:val="000000"/>
            <w:highlight w:val="none"/>
            <w:lang w:val="en-US" w:eastAsia="zh-CN"/>
          </w:rPr>
          <m:t>V</m:t>
        </m:r>
      </m:oMath>
      <w:r>
        <w:rPr>
          <w:rFonts w:hint="eastAsia" w:ascii="宋体" w:hAnsi="宋体" w:eastAsia="宋体" w:cs="宋体"/>
          <w:kern w:val="0"/>
          <w:szCs w:val="20"/>
          <w:highlight w:val="none"/>
        </w:rPr>
        <w:t>——</w:t>
      </w:r>
      <w:r>
        <w:rPr>
          <w:rFonts w:hint="eastAsia" w:ascii="宋体" w:hAnsi="宋体" w:eastAsia="宋体" w:cs="宋体"/>
          <w:szCs w:val="24"/>
          <w:highlight w:val="none"/>
        </w:rPr>
        <w:t>客运量，单位为人；</w:t>
      </w:r>
    </w:p>
    <w:p>
      <w:pPr>
        <w:keepNext w:val="0"/>
        <w:keepLines w:val="0"/>
        <w:pageBreakBefore w:val="0"/>
        <w:widowControl/>
        <w:numPr>
          <w:ilvl w:val="255"/>
          <w:numId w:val="0"/>
        </w:numPr>
        <w:tabs>
          <w:tab w:val="center" w:pos="4201"/>
          <w:tab w:val="right" w:leader="dot" w:pos="9298"/>
        </w:tabs>
        <w:kinsoku/>
        <w:wordWrap/>
        <w:overflowPunct/>
        <w:topLinePunct w:val="0"/>
        <w:autoSpaceDE w:val="0"/>
        <w:autoSpaceDN w:val="0"/>
        <w:bidi w:val="0"/>
        <w:adjustRightInd w:val="0"/>
        <w:snapToGrid/>
        <w:spacing w:line="240" w:lineRule="auto"/>
        <w:ind w:firstLine="420" w:firstLineChars="200"/>
        <w:textAlignment w:val="auto"/>
        <w:rPr>
          <w:rFonts w:ascii="黑体" w:hAnsi="Times New Roman" w:eastAsia="黑体" w:cs="Times New Roman"/>
          <w:kern w:val="21"/>
          <w:szCs w:val="20"/>
          <w:highlight w:val="none"/>
        </w:rPr>
      </w:pPr>
      <m:oMath>
        <m:sSub>
          <m:sSubPr>
            <m:ctrlPr>
              <w:rPr>
                <w:rFonts w:hint="eastAsia" w:ascii="Cambria Math" w:hAnsi="Cambria Math" w:eastAsia="宋体" w:cs="宋体"/>
                <w:kern w:val="0"/>
                <w:szCs w:val="20"/>
                <w:highlight w:val="none"/>
              </w:rPr>
            </m:ctrlPr>
          </m:sSubPr>
          <m:e>
            <m:r>
              <w:rPr>
                <w:rFonts w:hint="default" w:ascii="Cambria Math" w:hAnsi="Cambria Math" w:eastAsia="宋体" w:cs="宋体"/>
                <w:kern w:val="0"/>
                <w:szCs w:val="20"/>
                <w:highlight w:val="none"/>
              </w:rPr>
              <m:t>L</m:t>
            </m:r>
            <m:ctrlPr>
              <w:rPr>
                <w:rFonts w:hint="eastAsia" w:ascii="Cambria Math" w:hAnsi="Cambria Math" w:eastAsia="宋体" w:cs="宋体"/>
                <w:kern w:val="0"/>
                <w:szCs w:val="20"/>
                <w:highlight w:val="none"/>
              </w:rPr>
            </m:ctrlPr>
          </m:e>
          <m:sub>
            <m:r>
              <m:rPr>
                <m:sty m:val="p"/>
              </m:rPr>
              <w:rPr>
                <w:rFonts w:ascii="Cambria Math" w:hAnsi="Cambria Math" w:eastAsia="宋体" w:cs="宋体"/>
                <w:kern w:val="0"/>
                <w:szCs w:val="20"/>
                <w:highlight w:val="none"/>
              </w:rPr>
              <m:t>d</m:t>
            </m:r>
            <m:ctrlPr>
              <w:rPr>
                <w:rFonts w:hint="eastAsia" w:ascii="Cambria Math" w:hAnsi="Cambria Math" w:eastAsia="宋体" w:cs="宋体"/>
                <w:kern w:val="0"/>
                <w:szCs w:val="20"/>
                <w:highlight w:val="none"/>
              </w:rPr>
            </m:ctrlPr>
          </m:sub>
        </m:sSub>
      </m:oMath>
      <w:r>
        <w:rPr>
          <w:rFonts w:hint="eastAsia" w:ascii="宋体" w:hAnsi="宋体" w:eastAsia="宋体" w:cs="宋体"/>
          <w:kern w:val="0"/>
          <w:szCs w:val="20"/>
          <w:highlight w:val="none"/>
        </w:rPr>
        <w:t>——运营线路长度，单位为公里</w:t>
      </w:r>
      <w:r>
        <w:rPr>
          <w:rFonts w:hint="eastAsia" w:ascii="宋体" w:hAnsi="Times New Roman" w:eastAsia="宋体" w:cs="Times New Roman"/>
          <w:kern w:val="0"/>
          <w:szCs w:val="20"/>
          <w:highlight w:val="none"/>
        </w:rPr>
        <w:t>。</w:t>
      </w:r>
    </w:p>
    <w:p>
      <w:pPr>
        <w:pStyle w:val="58"/>
        <w:sectPr>
          <w:pgSz w:w="11906" w:h="16838"/>
          <w:pgMar w:top="2410" w:right="1134" w:bottom="1134" w:left="1134" w:header="1418" w:footer="1134" w:gutter="284"/>
          <w:cols w:space="425" w:num="1"/>
          <w:formProt w:val="0"/>
          <w:docGrid w:linePitch="312" w:charSpace="0"/>
        </w:sectPr>
      </w:pPr>
    </w:p>
    <w:bookmarkEnd w:id="20"/>
    <w:p>
      <w:pPr>
        <w:pStyle w:val="65"/>
        <w:spacing w:before="96" w:after="120"/>
      </w:pPr>
      <w:bookmarkStart w:id="498" w:name="_Toc30111"/>
      <w:bookmarkStart w:id="499" w:name="_Toc82621614"/>
      <w:bookmarkStart w:id="500" w:name="BookMark6"/>
      <w:r>
        <w:rPr>
          <w:rFonts w:hint="eastAsia"/>
          <w:spacing w:val="105"/>
        </w:rPr>
        <w:t>参考文</w:t>
      </w:r>
      <w:r>
        <w:rPr>
          <w:rFonts w:hint="eastAsia"/>
        </w:rPr>
        <w:t>献</w:t>
      </w:r>
      <w:bookmarkEnd w:id="498"/>
      <w:bookmarkEnd w:id="499"/>
    </w:p>
    <w:p>
      <w:pPr>
        <w:pStyle w:val="58"/>
        <w:numPr>
          <w:ilvl w:val="0"/>
          <w:numId w:val="88"/>
        </w:numPr>
        <w:ind w:left="425" w:hanging="425" w:firstLineChars="0"/>
        <w:rPr>
          <w:rFonts w:hint="eastAsia"/>
        </w:rPr>
      </w:pPr>
      <w:r>
        <w:rPr>
          <w:rFonts w:hint="eastAsia"/>
        </w:rPr>
        <w:t xml:space="preserve"> GB/T 38374—2019  城市轨道交通运营指标体系</w:t>
      </w:r>
    </w:p>
    <w:p>
      <w:pPr>
        <w:pStyle w:val="58"/>
        <w:numPr>
          <w:ilvl w:val="0"/>
          <w:numId w:val="88"/>
        </w:numPr>
        <w:ind w:left="425" w:hanging="425" w:firstLineChars="0"/>
        <w:rPr>
          <w:rFonts w:hint="eastAsia"/>
        </w:rPr>
      </w:pPr>
      <w:r>
        <w:rPr>
          <w:rFonts w:hint="default"/>
          <w:lang w:val="en-US"/>
        </w:rPr>
        <w:t xml:space="preserve"> </w:t>
      </w:r>
      <w:r>
        <w:rPr>
          <w:rFonts w:hint="eastAsia"/>
        </w:rPr>
        <w:t>GB 50911—2013  城市轨道交通工程监测技术规范</w:t>
      </w:r>
    </w:p>
    <w:p>
      <w:pPr>
        <w:pStyle w:val="58"/>
        <w:numPr>
          <w:ilvl w:val="0"/>
          <w:numId w:val="88"/>
        </w:numPr>
        <w:ind w:left="425" w:hanging="425" w:firstLineChars="0"/>
        <w:rPr>
          <w:rFonts w:hint="eastAsia"/>
        </w:rPr>
      </w:pPr>
      <w:r>
        <w:rPr>
          <w:rFonts w:hint="default"/>
          <w:lang w:val="en-US"/>
        </w:rPr>
        <w:t xml:space="preserve"> </w:t>
      </w:r>
      <w:r>
        <w:rPr>
          <w:rFonts w:hint="eastAsia"/>
        </w:rPr>
        <w:t>JT/T 1051  城市轨道交通运营突发事件应急预案编制规范</w:t>
      </w:r>
    </w:p>
    <w:p>
      <w:pPr>
        <w:pStyle w:val="58"/>
        <w:numPr>
          <w:ilvl w:val="0"/>
          <w:numId w:val="88"/>
        </w:numPr>
        <w:ind w:left="425" w:hanging="425" w:firstLineChars="0"/>
        <w:rPr>
          <w:rFonts w:hint="eastAsia"/>
        </w:rPr>
      </w:pPr>
      <w:r>
        <w:rPr>
          <w:rFonts w:hint="default"/>
          <w:lang w:val="en-US"/>
        </w:rPr>
        <w:t xml:space="preserve"> </w:t>
      </w:r>
      <w:r>
        <w:rPr>
          <w:rFonts w:hint="eastAsia"/>
        </w:rPr>
        <w:t>DB45/T 2051—2019  城市轨道交通运营安全评估规范</w:t>
      </w:r>
    </w:p>
    <w:p>
      <w:pPr>
        <w:pStyle w:val="58"/>
        <w:numPr>
          <w:ilvl w:val="0"/>
          <w:numId w:val="88"/>
        </w:numPr>
        <w:ind w:left="425" w:hanging="425" w:firstLineChars="0"/>
        <w:rPr>
          <w:rFonts w:hint="eastAsia"/>
        </w:rPr>
      </w:pPr>
      <w:r>
        <w:rPr>
          <w:rFonts w:hint="default"/>
          <w:lang w:val="en-US"/>
        </w:rPr>
        <w:t xml:space="preserve"> </w:t>
      </w:r>
      <w:r>
        <w:rPr>
          <w:rFonts w:hint="eastAsia"/>
        </w:rPr>
        <w:t>T/CAMET 04017.6—2019  城市轨道交通  全自动运行系统规范 第6部分：初期运营基本条件</w:t>
      </w:r>
    </w:p>
    <w:p>
      <w:pPr>
        <w:pStyle w:val="58"/>
        <w:numPr>
          <w:ilvl w:val="0"/>
          <w:numId w:val="88"/>
        </w:numPr>
        <w:ind w:left="425" w:hanging="425" w:firstLineChars="0"/>
        <w:rPr>
          <w:rFonts w:hint="eastAsia"/>
        </w:rPr>
      </w:pPr>
      <w:r>
        <w:rPr>
          <w:rFonts w:hint="default"/>
          <w:lang w:val="en-US"/>
        </w:rPr>
        <w:t xml:space="preserve"> </w:t>
      </w:r>
      <w:r>
        <w:rPr>
          <w:rFonts w:hint="eastAsia"/>
        </w:rPr>
        <w:t>T/SHJX 0019—2020  城市轨道交通全自动运行线路初期运营前安全评估技术规范</w:t>
      </w:r>
    </w:p>
    <w:p>
      <w:pPr>
        <w:pStyle w:val="58"/>
        <w:numPr>
          <w:ilvl w:val="0"/>
          <w:numId w:val="88"/>
        </w:numPr>
        <w:ind w:left="425" w:hanging="425" w:firstLineChars="0"/>
        <w:rPr>
          <w:rFonts w:hint="eastAsia"/>
        </w:rPr>
      </w:pPr>
      <w:r>
        <w:rPr>
          <w:rFonts w:hint="default"/>
          <w:lang w:val="en-US"/>
        </w:rPr>
        <w:t xml:space="preserve"> </w:t>
      </w:r>
      <w:r>
        <w:rPr>
          <w:rFonts w:hint="eastAsia"/>
        </w:rPr>
        <w:t>交运规〔2019〕7号  城市轨道交通运营安全风险分级管控和隐患排查治理管理办法</w:t>
      </w:r>
    </w:p>
    <w:p>
      <w:pPr>
        <w:pStyle w:val="58"/>
        <w:numPr>
          <w:ilvl w:val="0"/>
          <w:numId w:val="88"/>
        </w:numPr>
        <w:ind w:left="425" w:hanging="425" w:firstLineChars="0"/>
        <w:rPr>
          <w:rFonts w:hint="eastAsia"/>
        </w:rPr>
      </w:pPr>
      <w:r>
        <w:rPr>
          <w:rFonts w:hint="default"/>
          <w:lang w:val="en-US"/>
        </w:rPr>
        <w:t xml:space="preserve"> </w:t>
      </w:r>
      <w:r>
        <w:rPr>
          <w:rFonts w:hint="eastAsia"/>
        </w:rPr>
        <w:t>交运规〔2019〕8号  城市轨道交通设施设备运行维护管理办法</w:t>
      </w:r>
    </w:p>
    <w:p>
      <w:pPr>
        <w:pStyle w:val="58"/>
        <w:numPr>
          <w:ilvl w:val="0"/>
          <w:numId w:val="88"/>
        </w:numPr>
        <w:ind w:left="425" w:hanging="425" w:firstLineChars="0"/>
        <w:rPr>
          <w:rFonts w:hint="eastAsia"/>
        </w:rPr>
      </w:pPr>
      <w:r>
        <w:rPr>
          <w:rFonts w:hint="default"/>
          <w:lang w:val="en-US"/>
        </w:rPr>
        <w:t xml:space="preserve"> </w:t>
      </w:r>
      <w:r>
        <w:rPr>
          <w:rFonts w:hint="eastAsia"/>
        </w:rPr>
        <w:t>交运规〔2019〕9号  城市轨道交通运营突发事件应急演练管理办法</w:t>
      </w:r>
    </w:p>
    <w:p>
      <w:pPr>
        <w:pStyle w:val="58"/>
        <w:numPr>
          <w:ilvl w:val="0"/>
          <w:numId w:val="88"/>
        </w:numPr>
        <w:ind w:left="425" w:hanging="425" w:firstLineChars="0"/>
        <w:rPr>
          <w:rFonts w:hint="eastAsia"/>
        </w:rPr>
      </w:pPr>
      <w:r>
        <w:rPr>
          <w:rFonts w:hint="default"/>
          <w:lang w:val="en-US"/>
        </w:rPr>
        <w:t xml:space="preserve"> </w:t>
      </w:r>
      <w:r>
        <w:rPr>
          <w:rFonts w:hint="eastAsia"/>
        </w:rPr>
        <w:t>交运规〔2019〕16号  城市轨道交通正式运营前和运营期间安全评估管理暂行办法</w:t>
      </w:r>
    </w:p>
    <w:p>
      <w:pPr>
        <w:pStyle w:val="58"/>
        <w:numPr>
          <w:ilvl w:val="0"/>
          <w:numId w:val="88"/>
        </w:numPr>
        <w:ind w:left="425" w:hanging="425" w:firstLineChars="0"/>
        <w:rPr>
          <w:rFonts w:hint="eastAsia"/>
        </w:rPr>
      </w:pPr>
      <w:r>
        <w:rPr>
          <w:rFonts w:hint="default"/>
          <w:lang w:val="en-US"/>
        </w:rPr>
        <w:t xml:space="preserve"> </w:t>
      </w:r>
      <w:r>
        <w:rPr>
          <w:rFonts w:hint="eastAsia"/>
        </w:rPr>
        <w:t>交办运〔2019〕17号  城市轨道交通初期运营前安全评估技术规范  第1部分：地铁和轻轨</w:t>
      </w:r>
    </w:p>
    <w:p>
      <w:pPr>
        <w:pStyle w:val="58"/>
        <w:numPr>
          <w:ilvl w:val="0"/>
          <w:numId w:val="88"/>
        </w:numPr>
        <w:ind w:left="425" w:hanging="425" w:firstLineChars="0"/>
      </w:pPr>
      <w:r>
        <w:rPr>
          <w:rFonts w:hint="default"/>
          <w:lang w:val="en-US"/>
        </w:rPr>
        <w:t xml:space="preserve"> </w:t>
      </w:r>
      <w:r>
        <w:rPr>
          <w:rFonts w:hint="eastAsia"/>
        </w:rPr>
        <w:t>交办运〔2019〕83号  城市轨道交通正式运营前安全评估技术规范  第1部分：地铁和轻轨</w:t>
      </w:r>
    </w:p>
    <w:p>
      <w:pPr>
        <w:pStyle w:val="58"/>
        <w:ind w:firstLine="420"/>
      </w:pPr>
    </w:p>
    <w:bookmarkEnd w:id="500"/>
    <w:p>
      <w:pPr>
        <w:pStyle w:val="58"/>
        <w:ind w:firstLine="0" w:firstLineChars="0"/>
        <w:jc w:val="center"/>
      </w:pPr>
      <w:bookmarkStart w:id="501"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01"/>
    </w:p>
    <w:sectPr>
      <w:pgSz w:w="11906" w:h="16838"/>
      <w:pgMar w:top="2410" w:right="1134" w:bottom="1134" w:left="1134" w:header="1418" w:footer="1134" w:gutter="284"/>
      <w:cols w:space="425"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43"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23</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wordWrap w:val="0"/>
      <w:rPr>
        <w:rFonts w:hint="default" w:eastAsia="黑体"/>
        <w:lang w:val="en-US" w:eastAsia="zh-CN"/>
      </w:rPr>
    </w:pPr>
    <w:bookmarkStart w:id="502" w:name="_GoBack"/>
    <w:r>
      <w:rPr>
        <w:rFonts w:hint="eastAsia"/>
        <w:lang w:val="en-US" w:eastAsia="zh-CN"/>
      </w:rPr>
      <w:t>T/URTA XXXX-2022</w:t>
    </w:r>
  </w:p>
  <w:bookmarkEnd w:id="50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pPr>
    <w:r>
      <w:fldChar w:fldCharType="begin"/>
    </w:r>
    <w:r>
      <w:instrText xml:space="preserve"> STYLEREF  标准文件_文件编号  \* MERGEFORMAT </w:instrText>
    </w:r>
    <w:r>
      <w:fldChar w:fldCharType="separate"/>
    </w:r>
    <w:r>
      <w:t>T/URTA XXXX—2022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0A890B"/>
    <w:multiLevelType w:val="multilevel"/>
    <w:tmpl w:val="870A890B"/>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87231B0F"/>
    <w:multiLevelType w:val="multilevel"/>
    <w:tmpl w:val="87231B0F"/>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87AE67D2"/>
    <w:multiLevelType w:val="multilevel"/>
    <w:tmpl w:val="87AE67D2"/>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8C1C89E9"/>
    <w:multiLevelType w:val="multilevel"/>
    <w:tmpl w:val="8C1C89E9"/>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96CDDAEA"/>
    <w:multiLevelType w:val="multilevel"/>
    <w:tmpl w:val="96CDDAEA"/>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995ECCC0"/>
    <w:multiLevelType w:val="multilevel"/>
    <w:tmpl w:val="995ECCC0"/>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A2E73B25"/>
    <w:multiLevelType w:val="multilevel"/>
    <w:tmpl w:val="A2E73B25"/>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ABA38708"/>
    <w:multiLevelType w:val="multilevel"/>
    <w:tmpl w:val="ABA38708"/>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
    <w:nsid w:val="B3F59CBB"/>
    <w:multiLevelType w:val="multilevel"/>
    <w:tmpl w:val="B3F59CBB"/>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B93159C3"/>
    <w:multiLevelType w:val="multilevel"/>
    <w:tmpl w:val="B93159C3"/>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BA829E34"/>
    <w:multiLevelType w:val="multilevel"/>
    <w:tmpl w:val="BA829E34"/>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BA84216C"/>
    <w:multiLevelType w:val="multilevel"/>
    <w:tmpl w:val="BA84216C"/>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BAB30583"/>
    <w:multiLevelType w:val="multilevel"/>
    <w:tmpl w:val="BAB30583"/>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C23AED4C"/>
    <w:multiLevelType w:val="multilevel"/>
    <w:tmpl w:val="C23AED4C"/>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C698DAE0"/>
    <w:multiLevelType w:val="multilevel"/>
    <w:tmpl w:val="C698DAE0"/>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C773C1B5"/>
    <w:multiLevelType w:val="multilevel"/>
    <w:tmpl w:val="C773C1B5"/>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C7F2DE28"/>
    <w:multiLevelType w:val="multilevel"/>
    <w:tmpl w:val="C7F2DE28"/>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C80E58B3"/>
    <w:multiLevelType w:val="multilevel"/>
    <w:tmpl w:val="C80E58B3"/>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C9D5963E"/>
    <w:multiLevelType w:val="multilevel"/>
    <w:tmpl w:val="C9D5963E"/>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9">
    <w:nsid w:val="CBC17C06"/>
    <w:multiLevelType w:val="multilevel"/>
    <w:tmpl w:val="CBC17C06"/>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0">
    <w:nsid w:val="CCA9FE2B"/>
    <w:multiLevelType w:val="multilevel"/>
    <w:tmpl w:val="CCA9FE2B"/>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1">
    <w:nsid w:val="CF6B2CEF"/>
    <w:multiLevelType w:val="multilevel"/>
    <w:tmpl w:val="CF6B2CEF"/>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2">
    <w:nsid w:val="DCAA6C80"/>
    <w:multiLevelType w:val="multilevel"/>
    <w:tmpl w:val="DCAA6C80"/>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3">
    <w:nsid w:val="E384E48C"/>
    <w:multiLevelType w:val="multilevel"/>
    <w:tmpl w:val="E384E48C"/>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E6620C5A"/>
    <w:multiLevelType w:val="multilevel"/>
    <w:tmpl w:val="E6620C5A"/>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EACDF4DB"/>
    <w:multiLevelType w:val="multilevel"/>
    <w:tmpl w:val="EACDF4DB"/>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EFD1C805"/>
    <w:multiLevelType w:val="multilevel"/>
    <w:tmpl w:val="EFD1C805"/>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F529A364"/>
    <w:multiLevelType w:val="singleLevel"/>
    <w:tmpl w:val="F529A364"/>
    <w:lvl w:ilvl="0" w:tentative="0">
      <w:start w:val="1"/>
      <w:numFmt w:val="decimal"/>
      <w:suff w:val="space"/>
      <w:lvlText w:val="[%1]"/>
      <w:lvlJc w:val="left"/>
      <w:pPr>
        <w:tabs>
          <w:tab w:val="left" w:pos="420"/>
        </w:tabs>
        <w:ind w:left="425" w:leftChars="0" w:hanging="425" w:firstLineChars="0"/>
      </w:pPr>
      <w:rPr>
        <w:rFonts w:hint="default"/>
      </w:rPr>
    </w:lvl>
  </w:abstractNum>
  <w:abstractNum w:abstractNumId="28">
    <w:nsid w:val="FDC74D9E"/>
    <w:multiLevelType w:val="multilevel"/>
    <w:tmpl w:val="FDC74D9E"/>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0192D2B0"/>
    <w:multiLevelType w:val="multilevel"/>
    <w:tmpl w:val="0192D2B0"/>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2">
    <w:nsid w:val="05C3D4DA"/>
    <w:multiLevelType w:val="multilevel"/>
    <w:tmpl w:val="05C3D4DA"/>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3">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4">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5">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6">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0C5FB08A"/>
    <w:multiLevelType w:val="multilevel"/>
    <w:tmpl w:val="0C5FB08A"/>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8">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39">
    <w:nsid w:val="1760B008"/>
    <w:multiLevelType w:val="multilevel"/>
    <w:tmpl w:val="1760B008"/>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0">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2">
    <w:nsid w:val="1B4C5443"/>
    <w:multiLevelType w:val="multilevel"/>
    <w:tmpl w:val="1B4C5443"/>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3">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44">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709"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pStyle w:val="240"/>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5">
    <w:nsid w:val="23F23D1C"/>
    <w:multiLevelType w:val="multilevel"/>
    <w:tmpl w:val="23F23D1C"/>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6">
    <w:nsid w:val="26041749"/>
    <w:multiLevelType w:val="multilevel"/>
    <w:tmpl w:val="26041749"/>
    <w:lvl w:ilvl="0" w:tentative="0">
      <w:start w:val="0"/>
      <w:numFmt w:val="bullet"/>
      <w:lvlText w:val="•"/>
      <w:lvlJc w:val="left"/>
      <w:pPr>
        <w:ind w:left="840" w:hanging="42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cs="Wingdings"/>
      </w:rPr>
    </w:lvl>
    <w:lvl w:ilvl="2" w:tentative="0">
      <w:start w:val="1"/>
      <w:numFmt w:val="bullet"/>
      <w:lvlText w:val=""/>
      <w:lvlJc w:val="left"/>
      <w:pPr>
        <w:ind w:left="1680" w:hanging="420"/>
      </w:pPr>
      <w:rPr>
        <w:rFonts w:hint="default" w:ascii="Wingdings" w:hAnsi="Wingdings" w:cs="Wingdings"/>
      </w:rPr>
    </w:lvl>
    <w:lvl w:ilvl="3" w:tentative="0">
      <w:start w:val="1"/>
      <w:numFmt w:val="bullet"/>
      <w:lvlText w:val=""/>
      <w:lvlJc w:val="left"/>
      <w:pPr>
        <w:ind w:left="2100" w:hanging="420"/>
      </w:pPr>
      <w:rPr>
        <w:rFonts w:hint="default" w:ascii="Wingdings" w:hAnsi="Wingdings" w:cs="Wingdings"/>
      </w:rPr>
    </w:lvl>
    <w:lvl w:ilvl="4" w:tentative="0">
      <w:start w:val="1"/>
      <w:numFmt w:val="bullet"/>
      <w:lvlText w:val=""/>
      <w:lvlJc w:val="left"/>
      <w:pPr>
        <w:ind w:left="2520" w:hanging="420"/>
      </w:pPr>
      <w:rPr>
        <w:rFonts w:hint="default" w:ascii="Wingdings" w:hAnsi="Wingdings" w:cs="Wingdings"/>
      </w:rPr>
    </w:lvl>
    <w:lvl w:ilvl="5" w:tentative="0">
      <w:start w:val="1"/>
      <w:numFmt w:val="bullet"/>
      <w:lvlText w:val=""/>
      <w:lvlJc w:val="left"/>
      <w:pPr>
        <w:ind w:left="2940" w:hanging="420"/>
      </w:pPr>
      <w:rPr>
        <w:rFonts w:hint="default" w:ascii="Wingdings" w:hAnsi="Wingdings" w:cs="Wingdings"/>
      </w:rPr>
    </w:lvl>
    <w:lvl w:ilvl="6" w:tentative="0">
      <w:start w:val="1"/>
      <w:numFmt w:val="bullet"/>
      <w:lvlText w:val=""/>
      <w:lvlJc w:val="left"/>
      <w:pPr>
        <w:ind w:left="3360" w:hanging="420"/>
      </w:pPr>
      <w:rPr>
        <w:rFonts w:hint="default" w:ascii="Wingdings" w:hAnsi="Wingdings" w:cs="Wingdings"/>
      </w:rPr>
    </w:lvl>
    <w:lvl w:ilvl="7" w:tentative="0">
      <w:start w:val="1"/>
      <w:numFmt w:val="bullet"/>
      <w:lvlText w:val=""/>
      <w:lvlJc w:val="left"/>
      <w:pPr>
        <w:ind w:left="3780" w:hanging="420"/>
      </w:pPr>
      <w:rPr>
        <w:rFonts w:hint="default" w:ascii="Wingdings" w:hAnsi="Wingdings" w:cs="Wingdings"/>
      </w:rPr>
    </w:lvl>
    <w:lvl w:ilvl="8" w:tentative="0">
      <w:start w:val="1"/>
      <w:numFmt w:val="bullet"/>
      <w:lvlText w:val=""/>
      <w:lvlJc w:val="left"/>
      <w:pPr>
        <w:ind w:left="4200" w:hanging="420"/>
      </w:pPr>
      <w:rPr>
        <w:rFonts w:hint="default" w:ascii="Wingdings" w:hAnsi="Wingdings" w:cs="Wingdings"/>
      </w:rPr>
    </w:lvl>
  </w:abstractNum>
  <w:abstractNum w:abstractNumId="47">
    <w:nsid w:val="2752C7C9"/>
    <w:multiLevelType w:val="multilevel"/>
    <w:tmpl w:val="2752C7C9"/>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8">
    <w:nsid w:val="27E6156D"/>
    <w:multiLevelType w:val="multilevel"/>
    <w:tmpl w:val="27E6156D"/>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9">
    <w:nsid w:val="2897C956"/>
    <w:multiLevelType w:val="multilevel"/>
    <w:tmpl w:val="2897C956"/>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51">
    <w:nsid w:val="3018AAEF"/>
    <w:multiLevelType w:val="multilevel"/>
    <w:tmpl w:val="3018AAEF"/>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3">
    <w:nsid w:val="3364A80C"/>
    <w:multiLevelType w:val="multilevel"/>
    <w:tmpl w:val="3364A80C"/>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4">
    <w:nsid w:val="362CE44B"/>
    <w:multiLevelType w:val="multilevel"/>
    <w:tmpl w:val="362CE44B"/>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5">
    <w:nsid w:val="37A8F2F4"/>
    <w:multiLevelType w:val="multilevel"/>
    <w:tmpl w:val="37A8F2F4"/>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6">
    <w:nsid w:val="37D47A81"/>
    <w:multiLevelType w:val="multilevel"/>
    <w:tmpl w:val="37D47A81"/>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7">
    <w:nsid w:val="392EF6BD"/>
    <w:multiLevelType w:val="multilevel"/>
    <w:tmpl w:val="392EF6BD"/>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8">
    <w:nsid w:val="3C678326"/>
    <w:multiLevelType w:val="multilevel"/>
    <w:tmpl w:val="3C678326"/>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9">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0">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1">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62">
    <w:nsid w:val="4CA5889E"/>
    <w:multiLevelType w:val="multilevel"/>
    <w:tmpl w:val="4CA5889E"/>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3">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4">
    <w:nsid w:val="50B38B43"/>
    <w:multiLevelType w:val="multilevel"/>
    <w:tmpl w:val="50B38B43"/>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5">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66">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7">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8">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9">
    <w:nsid w:val="56A270AD"/>
    <w:multiLevelType w:val="multilevel"/>
    <w:tmpl w:val="56A270AD"/>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0">
    <w:nsid w:val="62A3921B"/>
    <w:multiLevelType w:val="multilevel"/>
    <w:tmpl w:val="62A3921B"/>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7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4">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76">
    <w:nsid w:val="6B422A68"/>
    <w:multiLevelType w:val="multilevel"/>
    <w:tmpl w:val="6B422A68"/>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7">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8">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0">
    <w:nsid w:val="6D139B87"/>
    <w:multiLevelType w:val="multilevel"/>
    <w:tmpl w:val="6D139B87"/>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1">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2">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3">
    <w:nsid w:val="6F263121"/>
    <w:multiLevelType w:val="multilevel"/>
    <w:tmpl w:val="6F263121"/>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4">
    <w:nsid w:val="765868E0"/>
    <w:multiLevelType w:val="multilevel"/>
    <w:tmpl w:val="765868E0"/>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5">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6">
    <w:nsid w:val="7A590842"/>
    <w:multiLevelType w:val="multilevel"/>
    <w:tmpl w:val="7A590842"/>
    <w:lvl w:ilvl="0" w:tentative="0">
      <w:start w:val="1"/>
      <w:numFmt w:val="decimal"/>
      <w:suff w:val="nothing"/>
      <w:lvlText w:val="%1　"/>
      <w:lvlJc w:val="left"/>
      <w:pPr>
        <w:ind w:left="0" w:firstLine="0"/>
      </w:pPr>
      <w:rPr>
        <w:rFonts w:hint="eastAsia" w:ascii="黑体" w:hAnsi="黑体" w:eastAsia="黑体"/>
      </w:rPr>
    </w:lvl>
    <w:lvl w:ilvl="1" w:tentative="0">
      <w:start w:val="1"/>
      <w:numFmt w:val="decimal"/>
      <w:suff w:val="nothing"/>
      <w:lvlText w:val="%1.%2　"/>
      <w:lvlJc w:val="left"/>
      <w:pPr>
        <w:ind w:left="0" w:firstLine="0"/>
      </w:pPr>
      <w:rPr>
        <w:rFonts w:hint="eastAsia" w:ascii="黑体" w:hAnsi="黑体" w:eastAsia="黑体"/>
      </w:rPr>
    </w:lvl>
    <w:lvl w:ilvl="2" w:tentative="0">
      <w:start w:val="1"/>
      <w:numFmt w:val="decimal"/>
      <w:suff w:val="nothing"/>
      <w:lvlText w:val="%1.%2.%3　"/>
      <w:lvlJc w:val="left"/>
      <w:pPr>
        <w:tabs>
          <w:tab w:val="left" w:pos="0"/>
        </w:tabs>
        <w:ind w:left="852" w:firstLine="0"/>
      </w:pPr>
      <w:rPr>
        <w:rFonts w:hint="default" w:ascii="黑体" w:hAnsi="黑体" w:eastAsia="黑体" w:cs="黑体"/>
        <w:sz w:val="21"/>
        <w:szCs w:val="21"/>
      </w:rPr>
    </w:lvl>
    <w:lvl w:ilvl="3" w:tentative="0">
      <w:start w:val="1"/>
      <w:numFmt w:val="decimal"/>
      <w:lvlText w:val="%1.%2.%3.%4"/>
      <w:lvlJc w:val="left"/>
      <w:pPr>
        <w:tabs>
          <w:tab w:val="left" w:pos="420"/>
        </w:tabs>
        <w:ind w:left="0" w:firstLine="0"/>
      </w:pPr>
      <w:rPr>
        <w:rFonts w:hint="default" w:ascii="黑体" w:hAnsi="黑体" w:eastAsia="黑体" w:cs="黑体"/>
      </w:rPr>
    </w:lvl>
    <w:lvl w:ilvl="4" w:tentative="0">
      <w:start w:val="1"/>
      <w:numFmt w:val="lowerLetter"/>
      <w:lvlText w:val="%5)"/>
      <w:lvlJc w:val="left"/>
      <w:pPr>
        <w:tabs>
          <w:tab w:val="left" w:pos="420"/>
        </w:tabs>
        <w:ind w:left="840" w:firstLine="0"/>
      </w:pPr>
      <w:rPr>
        <w:rFonts w:hint="default" w:ascii="宋体" w:hAnsi="宋体" w:eastAsia="宋体" w:cs="宋体"/>
      </w:rPr>
    </w:lvl>
    <w:lvl w:ilvl="5" w:tentative="0">
      <w:start w:val="1"/>
      <w:numFmt w:val="decimal"/>
      <w:suff w:val="nothing"/>
      <w:lvlText w:val="%1.%2.%3.%4.%5.%6　"/>
      <w:lvlJc w:val="left"/>
      <w:pPr>
        <w:ind w:left="1260" w:firstLine="0"/>
      </w:pPr>
      <w:rPr>
        <w:rFonts w:hint="eastAsia"/>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87">
    <w:nsid w:val="7E2D5745"/>
    <w:multiLevelType w:val="multilevel"/>
    <w:tmpl w:val="7E2D5745"/>
    <w:lvl w:ilvl="0" w:tentative="0">
      <w:start w:val="0"/>
      <w:numFmt w:val="bullet"/>
      <w:lvlText w:val="•"/>
      <w:lvlJc w:val="left"/>
      <w:pPr>
        <w:ind w:left="840" w:hanging="420"/>
      </w:pPr>
      <w:rPr>
        <w:rFonts w:hint="eastAsia" w:ascii="宋体" w:hAnsi="宋体" w:eastAsia="宋体" w:cs="Times New Roman"/>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30"/>
  </w:num>
  <w:num w:numId="2">
    <w:abstractNumId w:val="79"/>
  </w:num>
  <w:num w:numId="3">
    <w:abstractNumId w:val="36"/>
  </w:num>
  <w:num w:numId="4">
    <w:abstractNumId w:val="74"/>
  </w:num>
  <w:num w:numId="5">
    <w:abstractNumId w:val="67"/>
  </w:num>
  <w:num w:numId="6">
    <w:abstractNumId w:val="60"/>
  </w:num>
  <w:num w:numId="7">
    <w:abstractNumId w:val="41"/>
  </w:num>
  <w:num w:numId="8">
    <w:abstractNumId w:val="34"/>
  </w:num>
  <w:num w:numId="9">
    <w:abstractNumId w:val="43"/>
  </w:num>
  <w:num w:numId="10">
    <w:abstractNumId w:val="65"/>
  </w:num>
  <w:num w:numId="11">
    <w:abstractNumId w:val="77"/>
  </w:num>
  <w:num w:numId="12">
    <w:abstractNumId w:val="52"/>
  </w:num>
  <w:num w:numId="13">
    <w:abstractNumId w:val="59"/>
  </w:num>
  <w:num w:numId="14">
    <w:abstractNumId w:val="40"/>
  </w:num>
  <w:num w:numId="15">
    <w:abstractNumId w:val="68"/>
  </w:num>
  <w:num w:numId="16">
    <w:abstractNumId w:val="72"/>
  </w:num>
  <w:num w:numId="17">
    <w:abstractNumId w:val="66"/>
  </w:num>
  <w:num w:numId="18">
    <w:abstractNumId w:val="82"/>
  </w:num>
  <w:num w:numId="19">
    <w:abstractNumId w:val="63"/>
  </w:num>
  <w:num w:numId="20">
    <w:abstractNumId w:val="31"/>
  </w:num>
  <w:num w:numId="21">
    <w:abstractNumId w:val="50"/>
  </w:num>
  <w:num w:numId="22">
    <w:abstractNumId w:val="85"/>
  </w:num>
  <w:num w:numId="23">
    <w:abstractNumId w:val="71"/>
  </w:num>
  <w:num w:numId="24">
    <w:abstractNumId w:val="38"/>
  </w:num>
  <w:num w:numId="25">
    <w:abstractNumId w:val="78"/>
  </w:num>
  <w:num w:numId="26">
    <w:abstractNumId w:val="81"/>
  </w:num>
  <w:num w:numId="27">
    <w:abstractNumId w:val="33"/>
  </w:num>
  <w:num w:numId="28">
    <w:abstractNumId w:val="35"/>
  </w:num>
  <w:num w:numId="29">
    <w:abstractNumId w:val="61"/>
  </w:num>
  <w:num w:numId="30">
    <w:abstractNumId w:val="75"/>
  </w:num>
  <w:num w:numId="31">
    <w:abstractNumId w:val="73"/>
  </w:num>
  <w:num w:numId="32">
    <w:abstractNumId w:val="44"/>
  </w:num>
  <w:num w:numId="33">
    <w:abstractNumId w:val="80"/>
  </w:num>
  <w:num w:numId="34">
    <w:abstractNumId w:val="84"/>
  </w:num>
  <w:num w:numId="35">
    <w:abstractNumId w:val="15"/>
  </w:num>
  <w:num w:numId="36">
    <w:abstractNumId w:val="11"/>
  </w:num>
  <w:num w:numId="37">
    <w:abstractNumId w:val="54"/>
  </w:num>
  <w:num w:numId="38">
    <w:abstractNumId w:val="16"/>
  </w:num>
  <w:num w:numId="39">
    <w:abstractNumId w:val="76"/>
  </w:num>
  <w:num w:numId="40">
    <w:abstractNumId w:val="47"/>
  </w:num>
  <w:num w:numId="41">
    <w:abstractNumId w:val="46"/>
  </w:num>
  <w:num w:numId="42">
    <w:abstractNumId w:val="6"/>
  </w:num>
  <w:num w:numId="43">
    <w:abstractNumId w:val="10"/>
  </w:num>
  <w:num w:numId="44">
    <w:abstractNumId w:val="28"/>
  </w:num>
  <w:num w:numId="45">
    <w:abstractNumId w:val="22"/>
  </w:num>
  <w:num w:numId="46">
    <w:abstractNumId w:val="20"/>
  </w:num>
  <w:num w:numId="47">
    <w:abstractNumId w:val="4"/>
  </w:num>
  <w:num w:numId="48">
    <w:abstractNumId w:val="83"/>
  </w:num>
  <w:num w:numId="49">
    <w:abstractNumId w:val="62"/>
  </w:num>
  <w:num w:numId="50">
    <w:abstractNumId w:val="69"/>
  </w:num>
  <w:num w:numId="51">
    <w:abstractNumId w:val="42"/>
  </w:num>
  <w:num w:numId="52">
    <w:abstractNumId w:val="24"/>
  </w:num>
  <w:num w:numId="53">
    <w:abstractNumId w:val="70"/>
  </w:num>
  <w:num w:numId="54">
    <w:abstractNumId w:val="19"/>
  </w:num>
  <w:num w:numId="55">
    <w:abstractNumId w:val="21"/>
  </w:num>
  <w:num w:numId="56">
    <w:abstractNumId w:val="56"/>
  </w:num>
  <w:num w:numId="57">
    <w:abstractNumId w:val="18"/>
  </w:num>
  <w:num w:numId="58">
    <w:abstractNumId w:val="39"/>
  </w:num>
  <w:num w:numId="59">
    <w:abstractNumId w:val="17"/>
  </w:num>
  <w:num w:numId="60">
    <w:abstractNumId w:val="3"/>
  </w:num>
  <w:num w:numId="61">
    <w:abstractNumId w:val="55"/>
  </w:num>
  <w:num w:numId="62">
    <w:abstractNumId w:val="37"/>
  </w:num>
  <w:num w:numId="63">
    <w:abstractNumId w:val="0"/>
  </w:num>
  <w:num w:numId="64">
    <w:abstractNumId w:val="14"/>
  </w:num>
  <w:num w:numId="65">
    <w:abstractNumId w:val="57"/>
  </w:num>
  <w:num w:numId="66">
    <w:abstractNumId w:val="87"/>
  </w:num>
  <w:num w:numId="67">
    <w:abstractNumId w:val="13"/>
  </w:num>
  <w:num w:numId="68">
    <w:abstractNumId w:val="86"/>
  </w:num>
  <w:num w:numId="69">
    <w:abstractNumId w:val="25"/>
  </w:num>
  <w:num w:numId="70">
    <w:abstractNumId w:val="9"/>
  </w:num>
  <w:num w:numId="71">
    <w:abstractNumId w:val="45"/>
  </w:num>
  <w:num w:numId="72">
    <w:abstractNumId w:val="64"/>
  </w:num>
  <w:num w:numId="73">
    <w:abstractNumId w:val="1"/>
  </w:num>
  <w:num w:numId="74">
    <w:abstractNumId w:val="26"/>
  </w:num>
  <w:num w:numId="75">
    <w:abstractNumId w:val="51"/>
  </w:num>
  <w:num w:numId="76">
    <w:abstractNumId w:val="2"/>
  </w:num>
  <w:num w:numId="77">
    <w:abstractNumId w:val="23"/>
  </w:num>
  <w:num w:numId="78">
    <w:abstractNumId w:val="5"/>
  </w:num>
  <w:num w:numId="79">
    <w:abstractNumId w:val="8"/>
  </w:num>
  <w:num w:numId="80">
    <w:abstractNumId w:val="53"/>
  </w:num>
  <w:num w:numId="81">
    <w:abstractNumId w:val="12"/>
  </w:num>
  <w:num w:numId="82">
    <w:abstractNumId w:val="32"/>
  </w:num>
  <w:num w:numId="83">
    <w:abstractNumId w:val="58"/>
  </w:num>
  <w:num w:numId="84">
    <w:abstractNumId w:val="49"/>
  </w:num>
  <w:num w:numId="85">
    <w:abstractNumId w:val="48"/>
  </w:num>
  <w:num w:numId="86">
    <w:abstractNumId w:val="7"/>
  </w:num>
  <w:num w:numId="87">
    <w:abstractNumId w:val="29"/>
  </w:num>
  <w:num w:numId="8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0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BE"/>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281"/>
    <w:rsid w:val="000E4C9E"/>
    <w:rsid w:val="000E6FD7"/>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4EB5"/>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519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0AD9"/>
    <w:rsid w:val="002F30E0"/>
    <w:rsid w:val="002F35E4"/>
    <w:rsid w:val="002F3730"/>
    <w:rsid w:val="002F38E1"/>
    <w:rsid w:val="002F7AF6"/>
    <w:rsid w:val="00300E63"/>
    <w:rsid w:val="00302F5F"/>
    <w:rsid w:val="0030441D"/>
    <w:rsid w:val="00306063"/>
    <w:rsid w:val="00313B85"/>
    <w:rsid w:val="0031649B"/>
    <w:rsid w:val="00317988"/>
    <w:rsid w:val="003221B4"/>
    <w:rsid w:val="0032258D"/>
    <w:rsid w:val="00322E62"/>
    <w:rsid w:val="00324D13"/>
    <w:rsid w:val="00324EDD"/>
    <w:rsid w:val="00330DFE"/>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308"/>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663A9"/>
    <w:rsid w:val="00470775"/>
    <w:rsid w:val="004746B1"/>
    <w:rsid w:val="0047583F"/>
    <w:rsid w:val="00475DE8"/>
    <w:rsid w:val="004768C3"/>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4B67"/>
    <w:rsid w:val="004C1FBC"/>
    <w:rsid w:val="004C25A2"/>
    <w:rsid w:val="004C3F1D"/>
    <w:rsid w:val="004C458D"/>
    <w:rsid w:val="004C7556"/>
    <w:rsid w:val="004C7E8B"/>
    <w:rsid w:val="004C7E9D"/>
    <w:rsid w:val="004C7F67"/>
    <w:rsid w:val="004D076D"/>
    <w:rsid w:val="004D0EF1"/>
    <w:rsid w:val="004D2253"/>
    <w:rsid w:val="004D4406"/>
    <w:rsid w:val="004D5758"/>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2418"/>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280"/>
    <w:rsid w:val="006A07AA"/>
    <w:rsid w:val="006A25E5"/>
    <w:rsid w:val="006A2B46"/>
    <w:rsid w:val="006A336D"/>
    <w:rsid w:val="006A37B9"/>
    <w:rsid w:val="006B2672"/>
    <w:rsid w:val="006B54BF"/>
    <w:rsid w:val="006B5F44"/>
    <w:rsid w:val="006B5F90"/>
    <w:rsid w:val="006B62E4"/>
    <w:rsid w:val="006C1BBA"/>
    <w:rsid w:val="006C2079"/>
    <w:rsid w:val="006C24B0"/>
    <w:rsid w:val="006C5A62"/>
    <w:rsid w:val="006C5D68"/>
    <w:rsid w:val="006C6976"/>
    <w:rsid w:val="006C6DD0"/>
    <w:rsid w:val="006D04EA"/>
    <w:rsid w:val="006D16C4"/>
    <w:rsid w:val="006D3E96"/>
    <w:rsid w:val="006D4515"/>
    <w:rsid w:val="006D4BB1"/>
    <w:rsid w:val="006D6593"/>
    <w:rsid w:val="006E3218"/>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2D89"/>
    <w:rsid w:val="007C33B7"/>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A02"/>
    <w:rsid w:val="00870DA1"/>
    <w:rsid w:val="00873C5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A7F88"/>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6A31"/>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06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2D8A"/>
    <w:rsid w:val="00A93B09"/>
    <w:rsid w:val="00A952D7"/>
    <w:rsid w:val="00A963F7"/>
    <w:rsid w:val="00A96AD8"/>
    <w:rsid w:val="00AA052C"/>
    <w:rsid w:val="00AA1E45"/>
    <w:rsid w:val="00AA4286"/>
    <w:rsid w:val="00AA456B"/>
    <w:rsid w:val="00AA57F5"/>
    <w:rsid w:val="00AA672E"/>
    <w:rsid w:val="00AA6EC9"/>
    <w:rsid w:val="00AB482F"/>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6900"/>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F0E"/>
    <w:rsid w:val="00BE5B52"/>
    <w:rsid w:val="00BE7B8D"/>
    <w:rsid w:val="00BF0993"/>
    <w:rsid w:val="00BF10A9"/>
    <w:rsid w:val="00BF1703"/>
    <w:rsid w:val="00BF1995"/>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280D"/>
    <w:rsid w:val="00C6329F"/>
    <w:rsid w:val="00C63340"/>
    <w:rsid w:val="00C643F9"/>
    <w:rsid w:val="00C64E95"/>
    <w:rsid w:val="00C71372"/>
    <w:rsid w:val="00C71783"/>
    <w:rsid w:val="00C72410"/>
    <w:rsid w:val="00C72725"/>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047"/>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C2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17A5"/>
    <w:rsid w:val="00EA58D1"/>
    <w:rsid w:val="00EA61BC"/>
    <w:rsid w:val="00EA681A"/>
    <w:rsid w:val="00EA735B"/>
    <w:rsid w:val="00EB1E69"/>
    <w:rsid w:val="00EB2086"/>
    <w:rsid w:val="00EB31ED"/>
    <w:rsid w:val="00EB5EDF"/>
    <w:rsid w:val="00EB60FE"/>
    <w:rsid w:val="00EB74DB"/>
    <w:rsid w:val="00EC5359"/>
    <w:rsid w:val="00EC562A"/>
    <w:rsid w:val="00EC5FA4"/>
    <w:rsid w:val="00ED067A"/>
    <w:rsid w:val="00ED1EAC"/>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0793"/>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2B90"/>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A7E06"/>
    <w:rsid w:val="00FB0CB9"/>
    <w:rsid w:val="00FB231D"/>
    <w:rsid w:val="00FB45F1"/>
    <w:rsid w:val="00FB4A72"/>
    <w:rsid w:val="00FB5087"/>
    <w:rsid w:val="00FB54E8"/>
    <w:rsid w:val="00FB7054"/>
    <w:rsid w:val="00FC17B7"/>
    <w:rsid w:val="00FC2CB7"/>
    <w:rsid w:val="00FC4090"/>
    <w:rsid w:val="00FC55B4"/>
    <w:rsid w:val="00FD00E6"/>
    <w:rsid w:val="00FD09A1"/>
    <w:rsid w:val="00FD2A7C"/>
    <w:rsid w:val="00FD4C3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68266D"/>
    <w:rsid w:val="0180638C"/>
    <w:rsid w:val="084558F5"/>
    <w:rsid w:val="09F52ADC"/>
    <w:rsid w:val="0CA7378A"/>
    <w:rsid w:val="0FE24A58"/>
    <w:rsid w:val="13343D13"/>
    <w:rsid w:val="1395726D"/>
    <w:rsid w:val="139C375A"/>
    <w:rsid w:val="143E04F2"/>
    <w:rsid w:val="14BD6FD3"/>
    <w:rsid w:val="14CE7F7B"/>
    <w:rsid w:val="159E6F2C"/>
    <w:rsid w:val="17027E32"/>
    <w:rsid w:val="17703422"/>
    <w:rsid w:val="18066E0B"/>
    <w:rsid w:val="1C527B16"/>
    <w:rsid w:val="1CBC22B4"/>
    <w:rsid w:val="1D8877C8"/>
    <w:rsid w:val="1EDE5C1E"/>
    <w:rsid w:val="1F1510EE"/>
    <w:rsid w:val="21DF76AE"/>
    <w:rsid w:val="236F4F7F"/>
    <w:rsid w:val="25D642EC"/>
    <w:rsid w:val="27030D61"/>
    <w:rsid w:val="275D5AAF"/>
    <w:rsid w:val="27DF738C"/>
    <w:rsid w:val="2A3F2B71"/>
    <w:rsid w:val="2A92246A"/>
    <w:rsid w:val="2FF564B6"/>
    <w:rsid w:val="31EF134C"/>
    <w:rsid w:val="35D24FC9"/>
    <w:rsid w:val="36220A30"/>
    <w:rsid w:val="366035B7"/>
    <w:rsid w:val="38313D16"/>
    <w:rsid w:val="3839762C"/>
    <w:rsid w:val="394D0F85"/>
    <w:rsid w:val="3A7C21D7"/>
    <w:rsid w:val="3B6A2481"/>
    <w:rsid w:val="3D0256F0"/>
    <w:rsid w:val="3DBE355B"/>
    <w:rsid w:val="3E8726FA"/>
    <w:rsid w:val="3EBE34C4"/>
    <w:rsid w:val="3FCB0B8C"/>
    <w:rsid w:val="40C1258F"/>
    <w:rsid w:val="45A17AF7"/>
    <w:rsid w:val="4BB96A3B"/>
    <w:rsid w:val="4EA77F16"/>
    <w:rsid w:val="50242539"/>
    <w:rsid w:val="50336528"/>
    <w:rsid w:val="529717ED"/>
    <w:rsid w:val="53671913"/>
    <w:rsid w:val="55554897"/>
    <w:rsid w:val="562A76FF"/>
    <w:rsid w:val="57A43645"/>
    <w:rsid w:val="5DDE1F51"/>
    <w:rsid w:val="5DED046B"/>
    <w:rsid w:val="5DEF0BBF"/>
    <w:rsid w:val="5DFE55CC"/>
    <w:rsid w:val="5E6D1D55"/>
    <w:rsid w:val="5EAE20F5"/>
    <w:rsid w:val="627459C2"/>
    <w:rsid w:val="64135516"/>
    <w:rsid w:val="646F47EF"/>
    <w:rsid w:val="660E267D"/>
    <w:rsid w:val="661B3281"/>
    <w:rsid w:val="663C246B"/>
    <w:rsid w:val="665B16CC"/>
    <w:rsid w:val="67915035"/>
    <w:rsid w:val="67D7154C"/>
    <w:rsid w:val="6BA71C59"/>
    <w:rsid w:val="6BD77D30"/>
    <w:rsid w:val="6DC405CB"/>
    <w:rsid w:val="6E0B2B70"/>
    <w:rsid w:val="6EAA2A38"/>
    <w:rsid w:val="70EB0CF0"/>
    <w:rsid w:val="729B31D6"/>
    <w:rsid w:val="74B16C13"/>
    <w:rsid w:val="75525F5E"/>
    <w:rsid w:val="75D87AE4"/>
    <w:rsid w:val="769C44BC"/>
    <w:rsid w:val="77D01559"/>
    <w:rsid w:val="789100CD"/>
    <w:rsid w:val="79CD1AAB"/>
    <w:rsid w:val="7AA56FCA"/>
    <w:rsid w:val="7B505700"/>
    <w:rsid w:val="7DF25056"/>
    <w:rsid w:val="7F4F74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7"/>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next w:val="58"/>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character" w:customStyle="1" w:styleId="232">
    <w:name w:val="未处理的提及1"/>
    <w:basedOn w:val="30"/>
    <w:semiHidden/>
    <w:unhideWhenUsed/>
    <w:qFormat/>
    <w:uiPriority w:val="99"/>
    <w:rPr>
      <w:color w:val="605E5C"/>
      <w:shd w:val="clear" w:color="auto" w:fill="E1DFDD"/>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basedOn w:val="235"/>
    <w:next w:val="233"/>
    <w:qFormat/>
    <w:uiPriority w:val="0"/>
    <w:pPr>
      <w:numPr>
        <w:ilvl w:val="1"/>
        <w:numId w:val="32"/>
      </w:numPr>
      <w:spacing w:before="163" w:beforeLines="50" w:after="163" w:afterLines="5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99"/>
    <w:pPr>
      <w:numPr>
        <w:ilvl w:val="0"/>
        <w:numId w:val="32"/>
      </w:numPr>
      <w:spacing w:before="326" w:beforeLines="100" w:after="326" w:afterLines="100"/>
      <w:jc w:val="both"/>
      <w:outlineLvl w:val="1"/>
    </w:pPr>
    <w:rPr>
      <w:rFonts w:ascii="黑体" w:hAnsi="Times New Roman" w:eastAsia="黑体" w:cs="Times New Roman"/>
      <w:sz w:val="21"/>
      <w:lang w:val="en-US" w:eastAsia="zh-CN" w:bidi="ar-SA"/>
    </w:rPr>
  </w:style>
  <w:style w:type="paragraph" w:customStyle="1" w:styleId="236">
    <w:name w:val="二级无"/>
    <w:basedOn w:val="237"/>
    <w:qFormat/>
    <w:uiPriority w:val="0"/>
    <w:pPr>
      <w:spacing w:before="0" w:beforeLines="0" w:after="0" w:afterLines="0"/>
    </w:pPr>
    <w:rPr>
      <w:rFonts w:ascii="宋体" w:eastAsia="宋体"/>
    </w:rPr>
  </w:style>
  <w:style w:type="paragraph" w:customStyle="1" w:styleId="237">
    <w:name w:val="二级条标题"/>
    <w:basedOn w:val="234"/>
    <w:next w:val="233"/>
    <w:qFormat/>
    <w:uiPriority w:val="99"/>
    <w:pPr>
      <w:numPr>
        <w:ilvl w:val="2"/>
      </w:numPr>
      <w:spacing w:before="50" w:after="50"/>
      <w:outlineLvl w:val="3"/>
    </w:pPr>
  </w:style>
  <w:style w:type="paragraph" w:customStyle="1" w:styleId="238">
    <w:name w:val="一级无"/>
    <w:basedOn w:val="234"/>
    <w:qFormat/>
    <w:uiPriority w:val="0"/>
    <w:pPr>
      <w:spacing w:beforeLines="0" w:afterLines="0"/>
      <w:ind w:left="0"/>
    </w:pPr>
    <w:rPr>
      <w:rFonts w:ascii="宋体" w:hAnsi="宋体" w:eastAsia="宋体"/>
    </w:rPr>
  </w:style>
  <w:style w:type="paragraph" w:customStyle="1" w:styleId="239">
    <w:name w:val="三级无"/>
    <w:basedOn w:val="240"/>
    <w:qFormat/>
    <w:uiPriority w:val="0"/>
    <w:pPr>
      <w:spacing w:beforeLines="0" w:afterLines="0"/>
    </w:pPr>
    <w:rPr>
      <w:rFonts w:ascii="宋体" w:eastAsia="宋体"/>
    </w:rPr>
  </w:style>
  <w:style w:type="paragraph" w:customStyle="1" w:styleId="240">
    <w:name w:val="三级条标题"/>
    <w:basedOn w:val="237"/>
    <w:next w:val="233"/>
    <w:qFormat/>
    <w:uiPriority w:val="0"/>
    <w:pPr>
      <w:numPr>
        <w:ilvl w:val="3"/>
      </w:numPr>
      <w:outlineLvl w:val="4"/>
    </w:pPr>
  </w:style>
  <w:style w:type="paragraph" w:customStyle="1" w:styleId="241">
    <w:name w:val="附录章标题"/>
    <w:next w:val="233"/>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2">
    <w:name w:val="附录一级条标题"/>
    <w:basedOn w:val="241"/>
    <w:next w:val="233"/>
    <w:qFormat/>
    <w:uiPriority w:val="0"/>
    <w:pPr>
      <w:numPr>
        <w:ilvl w:val="2"/>
      </w:numPr>
      <w:autoSpaceDN w:val="0"/>
      <w:spacing w:beforeLines="50" w:afterLines="50"/>
      <w:outlineLvl w:val="2"/>
    </w:p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05AE330FA954AFFB0E59532AC80D7B2"/>
        <w:style w:val=""/>
        <w:category>
          <w:name w:val="常规"/>
          <w:gallery w:val="placeholder"/>
        </w:category>
        <w:types>
          <w:type w:val="bbPlcHdr"/>
        </w:types>
        <w:behaviors>
          <w:behavior w:val="content"/>
        </w:behaviors>
        <w:description w:val=""/>
        <w:guid w:val="{701FD4A0-3DE5-457F-BC0F-E8BAF38B844D}"/>
      </w:docPartPr>
      <w:docPartBody>
        <w:p>
          <w:pPr>
            <w:pStyle w:val="5"/>
          </w:pPr>
          <w:r>
            <w:rPr>
              <w:rStyle w:val="4"/>
              <w:rFonts w:hint="eastAsia"/>
            </w:rPr>
            <w:t>单击或点击此处输入文字。</w:t>
          </w:r>
        </w:p>
      </w:docPartBody>
    </w:docPart>
    <w:docPart>
      <w:docPartPr>
        <w:name w:val="EBDF80A13ED14C00B96A5DD97430634B"/>
        <w:style w:val=""/>
        <w:category>
          <w:name w:val="常规"/>
          <w:gallery w:val="placeholder"/>
        </w:category>
        <w:types>
          <w:type w:val="bbPlcHdr"/>
        </w:types>
        <w:behaviors>
          <w:behavior w:val="content"/>
        </w:behaviors>
        <w:description w:val=""/>
        <w:guid w:val="{F1729487-2BE0-4214-ACCF-88460DBF94D7}"/>
      </w:docPartPr>
      <w:docPartBody>
        <w:p>
          <w:pPr>
            <w:pStyle w:val="6"/>
          </w:pPr>
          <w:r>
            <w:rPr>
              <w:rStyle w:val="4"/>
              <w:rFonts w:hint="eastAsia"/>
            </w:rPr>
            <w:t>选择一项。</w:t>
          </w:r>
        </w:p>
      </w:docPartBody>
    </w:docPart>
    <w:docPart>
      <w:docPartPr>
        <w:name w:val="FDEB2041E3744F8B8BA933A88BD1C026"/>
        <w:style w:val=""/>
        <w:category>
          <w:name w:val="常规"/>
          <w:gallery w:val="placeholder"/>
        </w:category>
        <w:types>
          <w:type w:val="bbPlcHdr"/>
        </w:types>
        <w:behaviors>
          <w:behavior w:val="content"/>
        </w:behaviors>
        <w:description w:val=""/>
        <w:guid w:val="{FD30C36E-0DFD-468D-B358-2A3EF9D9E851}"/>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29E"/>
    <w:rsid w:val="004B6B36"/>
    <w:rsid w:val="006B7CFA"/>
    <w:rsid w:val="007A12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05AE330FA954AFFB0E59532AC80D7B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BDF80A13ED14C00B96A5DD9743063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FDEB2041E3744F8B8BA933A88BD1C02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80066-E524-4604-A54D-8FAD2BC5D2EB}">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30</Pages>
  <Words>22292</Words>
  <Characters>8785</Characters>
  <Lines>73</Lines>
  <Paragraphs>62</Paragraphs>
  <TotalTime>20</TotalTime>
  <ScaleCrop>false</ScaleCrop>
  <LinksUpToDate>false</LinksUpToDate>
  <CharactersWithSpaces>31015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2021-09-15T08:46:00Z</dcterms:created>
  <dc:creator>社保局</dc:creator>
  <dc:description>&lt;config cover="true" show_menu="true" version="1.0.0" doctype="SDKXY"&gt;_x000d_
&lt;/config&gt;</dc:description>
  <cp:lastModifiedBy>房磊</cp:lastModifiedBy>
  <cp:lastPrinted>2021-09-16T03:41:00Z</cp:lastPrinted>
  <dcterms:modified xsi:type="dcterms:W3CDTF">2022-08-04T07:00:55Z</dcterms:modified>
  <dc:title>团体标准</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2052-11.1.0.10314</vt:lpwstr>
  </property>
  <property fmtid="{D5CDD505-2E9C-101B-9397-08002B2CF9AE}" pid="15" name="ICV">
    <vt:lpwstr>B5444A7DEAB04A6DB4144C822F0C6464</vt:lpwstr>
  </property>
</Properties>
</file>